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hanging="0"/>
        <w:jc w:val="right"/>
        <w:rPr>
          <w:rFonts w:eastAsia="Times New Roman" w:cs="Calibri" w:cstheme="minorHAnsi"/>
          <w:bCs/>
          <w:sz w:val="24"/>
          <w:szCs w:val="24"/>
          <w:lang w:eastAsia="pl-PL"/>
        </w:rPr>
      </w:pPr>
      <w:r>
        <w:rPr/>
      </w:r>
    </w:p>
    <w:p>
      <w:pPr>
        <w:pStyle w:val="Normal"/>
        <w:spacing w:lineRule="auto" w:line="360" w:before="0" w:after="0"/>
        <w:ind w:hanging="0"/>
        <w:jc w:val="left"/>
        <w:rPr>
          <w:rFonts w:ascii="Arial" w:hAnsi="Arial"/>
          <w:b/>
          <w:b/>
          <w:bCs/>
        </w:rPr>
      </w:pPr>
      <w:r>
        <w:rPr>
          <w:rFonts w:eastAsia="Times New Roman" w:cs="Calibri" w:ascii="Arial" w:hAnsi="Arial" w:cstheme="minorHAnsi"/>
          <w:b/>
          <w:bCs/>
          <w:sz w:val="24"/>
          <w:szCs w:val="24"/>
          <w:lang w:eastAsia="pl-PL"/>
        </w:rPr>
        <w:t xml:space="preserve">Załącznik do Uchwały 267/5291/21 Zarządu Województwa Podkarpackiego z dnia </w:t>
      </w:r>
      <w:r>
        <w:rPr>
          <w:rFonts w:eastAsia="Times New Roman" w:cs="Calibri" w:ascii="Arial" w:hAnsi="Arial" w:cstheme="minorHAnsi"/>
          <w:b/>
          <w:bCs/>
          <w:color w:val="auto"/>
          <w:kern w:val="0"/>
          <w:sz w:val="24"/>
          <w:szCs w:val="24"/>
          <w:lang w:val="pl-PL" w:eastAsia="pl-PL" w:bidi="ar-SA"/>
        </w:rPr>
        <w:t xml:space="preserve">6 kwietnia </w:t>
      </w:r>
      <w:r>
        <w:rPr>
          <w:rFonts w:eastAsia="Times New Roman" w:cs="Calibri" w:ascii="Arial" w:hAnsi="Arial" w:cstheme="minorHAnsi"/>
          <w:b/>
          <w:bCs/>
          <w:sz w:val="24"/>
          <w:szCs w:val="24"/>
          <w:lang w:eastAsia="pl-PL"/>
        </w:rPr>
        <w:t>2021 r.</w:t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b/>
          <w:sz w:val="24"/>
          <w:szCs w:val="24"/>
          <w:lang w:eastAsia="pl-PL"/>
        </w:rPr>
        <w:t>Zarząd Województwa Podkarpackiego ogłasza otwarty konkurs ofert na realizację zadań publicznych Województwa Podkarpackiego w zakresie kultury w 2021 roku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b/>
          <w:b/>
          <w:sz w:val="24"/>
          <w:szCs w:val="24"/>
          <w:lang w:eastAsia="pl-PL"/>
        </w:rPr>
      </w:pPr>
      <w:r>
        <w:rPr>
          <w:rFonts w:eastAsia="Times New Roman" w:cs="Calibri" w:cstheme="minorHAnsi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Regulamin otwartego konkursu ofert pn. „Mecenat kulturalny</w:t>
      </w:r>
      <w:r>
        <w:rPr>
          <w:rFonts w:eastAsia="Times New Roman" w:cs="Calibri" w:ascii="Arial" w:hAnsi="Arial" w:cstheme="minorHAnsi"/>
          <w:caps/>
          <w:sz w:val="24"/>
          <w:szCs w:val="24"/>
          <w:lang w:eastAsia="pl-PL"/>
        </w:rPr>
        <w:t xml:space="preserve">” 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>Cel i zadania konkursowe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Celem konkursu jest wyłonienie podmiotów prowadzących działalność pożytku publicznego i udzielenie im dotacji na realizację zadań publicznych Województwa Podkarpackiego w zakresie kultury.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Konkurs przeprowadzany jest zgodnie z zadaniami ujętymi </w:t>
      </w:r>
      <w:r>
        <w:rPr>
          <w:rFonts w:eastAsia="Times New Roman" w:cs="Calibri" w:ascii="Arial" w:hAnsi="Arial" w:cstheme="minorHAnsi"/>
          <w:i/>
          <w:iCs/>
          <w:sz w:val="24"/>
          <w:szCs w:val="24"/>
          <w:lang w:eastAsia="pl-PL"/>
        </w:rPr>
        <w:t>w Programie współpracy Samorządu Województwa Podkarpackiego z organizacjami pozarządowymi i innymi podmiotami prowadzącymi działalność pożytku publicznego na rok 2021.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 ramach konkursu można ubiegać się o sfinansowanie/dofinansowanie przedsięwzięć kulturalnych, artystycznych i edukacyjnych w obszarze kultury, sztuki, ochronny dóbr kultury i dziedzictwa narodowego. 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Przedmiotem konkursu może być dowolna forma wypowiedzi kulturalnej, np. festiwale, koncerty, przeglądy, wystawy, plenery, programy i warsztaty edukacyjne, konferencje, spektakle.</w:t>
      </w:r>
    </w:p>
    <w:p>
      <w:pPr>
        <w:pStyle w:val="Nagwek2"/>
        <w:spacing w:lineRule="auto" w:line="360"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Inicjatywy kulturalne</w:t>
      </w:r>
    </w:p>
    <w:p>
      <w:pPr>
        <w:pStyle w:val="Normal"/>
        <w:spacing w:lineRule="auto" w:line="360" w:before="0" w:after="0"/>
        <w:ind w:hanging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bidi="en-US"/>
        </w:rPr>
        <w:t>Istotną wartość</w:t>
      </w:r>
      <w:r>
        <w:rPr>
          <w:rFonts w:eastAsia="BookmanOldStyle" w:cs="Calibri" w:ascii="Arial" w:hAnsi="Arial" w:cstheme="minorHAnsi"/>
          <w:sz w:val="24"/>
          <w:szCs w:val="24"/>
          <w:lang w:bidi="en-US"/>
        </w:rPr>
        <w:t xml:space="preserve"> inicjatyw kulturalnych w regionie </w:t>
      </w:r>
      <w:r>
        <w:rPr>
          <w:rFonts w:eastAsia="Times New Roman" w:cs="Calibri" w:ascii="Arial" w:hAnsi="Arial" w:cstheme="minorHAnsi"/>
          <w:sz w:val="24"/>
          <w:szCs w:val="24"/>
          <w:lang w:bidi="en-US"/>
        </w:rPr>
        <w:t>stanowi</w:t>
      </w:r>
      <w:r>
        <w:rPr>
          <w:rFonts w:eastAsia="BookmanOldStyle" w:cs="Calibri" w:ascii="Arial" w:hAnsi="Arial" w:cstheme="minorHAnsi"/>
          <w:sz w:val="24"/>
          <w:szCs w:val="24"/>
          <w:lang w:bidi="en-US"/>
        </w:rPr>
        <w:t xml:space="preserve"> </w:t>
      </w:r>
      <w:r>
        <w:rPr>
          <w:rFonts w:eastAsia="Times New Roman" w:cs="Calibri" w:ascii="Arial" w:hAnsi="Arial" w:cstheme="minorHAnsi"/>
          <w:sz w:val="24"/>
          <w:szCs w:val="24"/>
          <w:lang w:bidi="en-US"/>
        </w:rPr>
        <w:t xml:space="preserve">kształtowanie wrażliwości estetycznej i, co szczególnie ważne, pobudzanie postaw osobistego uczestnictwa w przedsięwzięciach i wydarzeniach kulturalnych. </w:t>
      </w:r>
    </w:p>
    <w:p>
      <w:pPr>
        <w:pStyle w:val="Normal"/>
        <w:spacing w:lineRule="auto" w:line="360" w:before="0" w:after="0"/>
        <w:ind w:firstLine="284"/>
        <w:rPr>
          <w:rFonts w:ascii="Arial" w:hAnsi="Arial" w:cs="Calibri" w:cstheme="minorHAnsi"/>
          <w:bCs/>
          <w:sz w:val="24"/>
          <w:szCs w:val="24"/>
        </w:rPr>
      </w:pPr>
      <w:r>
        <w:rPr>
          <w:rFonts w:cs="Calibri" w:cstheme="minorHAnsi" w:ascii="Arial" w:hAnsi="Arial"/>
          <w:bCs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cs="Calibri" w:ascii="Arial" w:hAnsi="Arial" w:cstheme="minorHAnsi"/>
          <w:b/>
          <w:bCs/>
          <w:sz w:val="24"/>
          <w:szCs w:val="24"/>
        </w:rPr>
        <w:t>Celem zadania jest zwiększenie zaangażowania mieszkańców województwa podkarpackiego do aktywnego uczestnictwa w kulturze</w:t>
      </w:r>
      <w:r>
        <w:rPr>
          <w:rFonts w:cs="Calibri" w:ascii="Arial" w:hAnsi="Arial" w:cstheme="minorHAnsi"/>
          <w:bCs/>
          <w:sz w:val="24"/>
          <w:szCs w:val="24"/>
        </w:rPr>
        <w:t>.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color w:val="000000"/>
          <w:sz w:val="24"/>
          <w:szCs w:val="24"/>
          <w:lang w:bidi="en-US"/>
        </w:rPr>
      </w:pPr>
      <w:r>
        <w:rPr>
          <w:rFonts w:eastAsia="Times New Roman" w:cs="Calibri" w:cstheme="minorHAnsi" w:ascii="Arial" w:hAnsi="Arial"/>
          <w:color w:val="000000"/>
          <w:sz w:val="24"/>
          <w:szCs w:val="24"/>
          <w:lang w:bidi="en-US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>Przykładowe działania:</w:t>
      </w:r>
      <w:r>
        <w:rPr>
          <w:rFonts w:cs="Calibri" w:ascii="Arial" w:hAnsi="Arial" w:cstheme="minorHAnsi"/>
          <w:bCs/>
          <w:color w:val="0D0D0D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2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 xml:space="preserve">prezentacja najcenniejszych i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najciekawszych zjawisk szeroko pojętej kultury</w:t>
      </w: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,</w:t>
      </w:r>
    </w:p>
    <w:p>
      <w:pPr>
        <w:pStyle w:val="Normal"/>
        <w:numPr>
          <w:ilvl w:val="0"/>
          <w:numId w:val="2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BookmanOldStyle" w:cs="Calibri" w:ascii="Arial" w:hAnsi="Arial" w:cstheme="minorHAnsi"/>
          <w:sz w:val="24"/>
          <w:szCs w:val="24"/>
          <w:lang w:eastAsia="pl-PL"/>
        </w:rPr>
        <w:t xml:space="preserve">realizacja oryginalnych projektów kulturalnych z wykorzystaniem rozwiązań cyfrowych, </w:t>
      </w:r>
    </w:p>
    <w:p>
      <w:pPr>
        <w:pStyle w:val="Normal"/>
        <w:numPr>
          <w:ilvl w:val="0"/>
          <w:numId w:val="2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promocja środowiska artystycznego, regionalnych twórców, artystów oraz ich twórczości,</w:t>
      </w:r>
    </w:p>
    <w:p>
      <w:pPr>
        <w:pStyle w:val="Normal"/>
        <w:numPr>
          <w:ilvl w:val="0"/>
          <w:numId w:val="2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 xml:space="preserve">zmniejszanie dystansu w edukacji kulturalnej i artystycznej pomiędzy małymi a dużymi ośrodkami życia kulturalnego – przełamywanie wykluczenia terytorialnego w dostępie do kultury, </w:t>
      </w:r>
    </w:p>
    <w:p>
      <w:pPr>
        <w:pStyle w:val="Normal"/>
        <w:numPr>
          <w:ilvl w:val="0"/>
          <w:numId w:val="2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współdziałanie między podmiotami tworzącymi dobra kultury.</w:t>
      </w:r>
    </w:p>
    <w:p>
      <w:pPr>
        <w:pStyle w:val="Normal"/>
        <w:spacing w:lineRule="auto" w:line="360" w:before="0" w:after="0"/>
        <w:rPr>
          <w:rFonts w:ascii="Arial" w:hAnsi="Arial" w:cs="Calibri" w:cstheme="minorHAnsi"/>
          <w:bCs/>
          <w:color w:val="000000"/>
          <w:sz w:val="24"/>
          <w:szCs w:val="24"/>
        </w:rPr>
      </w:pPr>
      <w:r>
        <w:rPr>
          <w:rFonts w:cs="Calibri" w:cstheme="minorHAnsi" w:ascii="Arial" w:hAnsi="Arial"/>
          <w:bCs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cs="Calibri" w:ascii="Arial" w:hAnsi="Arial" w:cstheme="minorHAnsi"/>
          <w:bCs/>
          <w:color w:val="000000"/>
          <w:sz w:val="24"/>
          <w:szCs w:val="24"/>
        </w:rPr>
        <w:t>Przykładowe wskaźniki rezultatu: liczba artystów, liczba plenerów, liczba wystaw, dokumentacja prasowa, filmowa, medialna, liczba wolontariuszy, liczba partnerów</w:t>
      </w:r>
      <w:r>
        <w:rPr>
          <w:rFonts w:cs="Calibri" w:ascii="Arial" w:hAnsi="Arial" w:cstheme="minorHAnsi"/>
          <w:color w:val="000000"/>
          <w:sz w:val="24"/>
          <w:szCs w:val="24"/>
        </w:rPr>
        <w:t>.</w:t>
      </w:r>
    </w:p>
    <w:p>
      <w:pPr>
        <w:pStyle w:val="Nagwek2"/>
        <w:spacing w:lineRule="auto" w:line="360"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Dziedzictwo kulturowe</w:t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cs="Calibri" w:ascii="Arial" w:hAnsi="Arial" w:cstheme="minorHAnsi"/>
          <w:color w:val="000000"/>
          <w:sz w:val="24"/>
          <w:szCs w:val="24"/>
        </w:rPr>
        <w:t>Dziedzictwo kulturowe powinno być z jednej strony przedmiotem ochrony i opieki, z drugiej zaś potencjałem, który winien zostać wykorzystany dla rozwoju województwa i budowania kapitału społecznego.</w:t>
      </w:r>
    </w:p>
    <w:p>
      <w:pPr>
        <w:pStyle w:val="Normal"/>
        <w:spacing w:lineRule="auto" w:line="360" w:before="0" w:after="0"/>
        <w:rPr>
          <w:rFonts w:ascii="Arial" w:hAnsi="Arial" w:cs="Calibri" w:cstheme="minorHAnsi"/>
          <w:b/>
          <w:b/>
          <w:color w:val="000000"/>
          <w:sz w:val="24"/>
          <w:szCs w:val="24"/>
        </w:rPr>
      </w:pPr>
      <w:r>
        <w:rPr>
          <w:rFonts w:cs="Calibri" w:cstheme="minorHAnsi" w:ascii="Arial" w:hAnsi="Arial"/>
          <w:b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cs="Calibri" w:ascii="Arial" w:hAnsi="Arial" w:cstheme="minorHAnsi"/>
          <w:b/>
          <w:color w:val="000000"/>
          <w:sz w:val="24"/>
          <w:szCs w:val="24"/>
        </w:rPr>
        <w:t xml:space="preserve">Celem zadania </w:t>
      </w:r>
      <w:r>
        <w:rPr>
          <w:rFonts w:cs="Calibri" w:ascii="Arial" w:hAnsi="Arial" w:cstheme="minorHAnsi"/>
          <w:b/>
          <w:bCs/>
          <w:color w:val="0D0D0D"/>
          <w:sz w:val="24"/>
          <w:szCs w:val="24"/>
        </w:rPr>
        <w:t>jest</w:t>
      </w:r>
      <w:r>
        <w:rPr>
          <w:rFonts w:eastAsia="Times New Roman" w:cs="Calibri" w:ascii="Arial" w:hAnsi="Arial" w:cstheme="minorHAnsi"/>
          <w:b/>
          <w:color w:val="000000"/>
          <w:sz w:val="24"/>
          <w:szCs w:val="24"/>
          <w:lang w:bidi="en-US"/>
        </w:rPr>
        <w:t xml:space="preserve"> upowszechnianie wiedzy o znaczeniu i wartości dziedzictwa kulturowego województwa podkarpackiego.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color w:val="000000"/>
          <w:sz w:val="24"/>
          <w:szCs w:val="24"/>
          <w:lang w:bidi="en-US"/>
        </w:rPr>
      </w:pPr>
      <w:r>
        <w:rPr>
          <w:rFonts w:eastAsia="Times New Roman" w:cs="Calibri" w:cstheme="minorHAnsi" w:ascii="Arial" w:hAnsi="Arial"/>
          <w:color w:val="000000"/>
          <w:sz w:val="24"/>
          <w:szCs w:val="24"/>
          <w:lang w:bidi="en-US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>Przykładowe działania:</w:t>
      </w:r>
      <w:r>
        <w:rPr>
          <w:rFonts w:cs="Calibri" w:ascii="Arial" w:hAnsi="Arial" w:cstheme="minorHAnsi"/>
          <w:bCs/>
          <w:color w:val="0D0D0D"/>
          <w:sz w:val="24"/>
          <w:szCs w:val="24"/>
        </w:rPr>
        <w:t xml:space="preserve"> </w:t>
      </w:r>
      <w:bookmarkStart w:id="0" w:name="_Hlk28953643"/>
      <w:bookmarkEnd w:id="0"/>
    </w:p>
    <w:p>
      <w:pPr>
        <w:pStyle w:val="Normal"/>
        <w:numPr>
          <w:ilvl w:val="0"/>
          <w:numId w:val="22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cs="Calibri" w:ascii="Arial" w:hAnsi="Arial" w:cstheme="minorHAnsi"/>
          <w:color w:val="000000"/>
          <w:sz w:val="24"/>
          <w:szCs w:val="24"/>
        </w:rPr>
        <w:t>promocja najcenniejszych elementów dziedzictwa kulturowego, przybliżenie walorów materialnego i niematerialnego dziedzictwa kulturowego regionu,</w:t>
      </w:r>
    </w:p>
    <w:p>
      <w:pPr>
        <w:pStyle w:val="Normal"/>
        <w:numPr>
          <w:ilvl w:val="0"/>
          <w:numId w:val="22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>upamiętnienie wydarzeń historycznych, osób lub miejsc, które w sposób istotny zapisały się na kartach historii regionu</w:t>
      </w:r>
      <w:r>
        <w:rPr>
          <w:rFonts w:cs="Calibri" w:ascii="Arial" w:hAnsi="Arial" w:cstheme="minorHAnsi"/>
          <w:color w:val="000000"/>
          <w:sz w:val="24"/>
          <w:szCs w:val="24"/>
        </w:rPr>
        <w:t xml:space="preserve">, </w:t>
      </w:r>
    </w:p>
    <w:p>
      <w:pPr>
        <w:pStyle w:val="Normal"/>
        <w:numPr>
          <w:ilvl w:val="0"/>
          <w:numId w:val="22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cs="Calibri" w:ascii="Arial" w:hAnsi="Arial" w:cstheme="minorHAnsi"/>
          <w:color w:val="000000"/>
          <w:sz w:val="24"/>
          <w:szCs w:val="24"/>
        </w:rPr>
        <w:t>popularyzacja dziedzictwa kulturowego, poprzez działania</w:t>
      </w:r>
      <w:r>
        <w:rPr>
          <w:rFonts w:cs="Calibri" w:ascii="Arial" w:hAnsi="Arial" w:cstheme="minorHAnsi"/>
          <w:bCs/>
          <w:color w:val="0D0D0D"/>
          <w:sz w:val="24"/>
          <w:szCs w:val="24"/>
        </w:rPr>
        <w:t xml:space="preserve"> </w:t>
      </w:r>
      <w:r>
        <w:rPr>
          <w:rFonts w:cs="Calibri" w:ascii="Arial" w:hAnsi="Arial" w:cstheme="minorHAnsi"/>
          <w:color w:val="000000"/>
          <w:sz w:val="24"/>
          <w:szCs w:val="24"/>
        </w:rPr>
        <w:t xml:space="preserve">edukacyjne i </w:t>
      </w: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>pozyskiwanie wiedzy na temat różnorodności kulturalnej i etnograficzne</w:t>
      </w:r>
      <w:r>
        <w:rPr>
          <w:rFonts w:eastAsia="Times New Roman" w:cs="Calibri" w:ascii="Arial" w:hAnsi="Arial" w:cstheme="minorHAnsi"/>
          <w:sz w:val="24"/>
          <w:szCs w:val="24"/>
          <w:lang w:bidi="en-US"/>
        </w:rPr>
        <w:t>j,</w:t>
      </w: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 xml:space="preserve"> charakterystycznej dla terenów obecnego województwa</w:t>
      </w:r>
      <w:r>
        <w:rPr>
          <w:rFonts w:cs="Calibri" w:ascii="Arial" w:hAnsi="Arial" w:cstheme="minorHAnsi"/>
          <w:color w:val="000000"/>
          <w:sz w:val="24"/>
          <w:szCs w:val="24"/>
        </w:rPr>
        <w:t>, w tym mniejszości narodowych i etnicznych,</w:t>
      </w:r>
    </w:p>
    <w:p>
      <w:pPr>
        <w:pStyle w:val="Normal"/>
        <w:numPr>
          <w:ilvl w:val="0"/>
          <w:numId w:val="22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cs="Calibri" w:ascii="Arial" w:hAnsi="Arial" w:cstheme="minorHAnsi"/>
          <w:color w:val="000000"/>
          <w:sz w:val="24"/>
          <w:szCs w:val="24"/>
        </w:rPr>
        <w:t>badanie i dokumentowanie regionalnego dziedzictwa kulturowego, w tym wspieranie folkloru i sztuki ludowej.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color w:val="000000"/>
          <w:sz w:val="24"/>
          <w:szCs w:val="24"/>
          <w:lang w:val="en-US" w:bidi="en-US"/>
        </w:rPr>
      </w:pPr>
      <w:r>
        <w:rPr>
          <w:rFonts w:eastAsia="Times New Roman" w:cs="Calibri" w:cstheme="minorHAnsi" w:ascii="Arial" w:hAnsi="Arial"/>
          <w:color w:val="000000"/>
          <w:sz w:val="24"/>
          <w:szCs w:val="24"/>
          <w:lang w:val="en-US" w:bidi="en-US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bookmarkStart w:id="1" w:name="_Hlk28953123"/>
      <w:r>
        <w:rPr>
          <w:rFonts w:cs="Calibri" w:ascii="Arial" w:hAnsi="Arial" w:cstheme="minorHAnsi"/>
          <w:bCs/>
          <w:color w:val="000000"/>
          <w:sz w:val="24"/>
          <w:szCs w:val="24"/>
        </w:rPr>
        <w:t xml:space="preserve">Przykładowe wskaźniki rezultatu: </w:t>
      </w:r>
      <w:bookmarkEnd w:id="1"/>
      <w:r>
        <w:rPr>
          <w:rFonts w:cs="Calibri" w:ascii="Arial" w:hAnsi="Arial" w:cstheme="minorHAnsi"/>
          <w:bCs/>
          <w:color w:val="000000"/>
          <w:sz w:val="24"/>
          <w:szCs w:val="24"/>
        </w:rPr>
        <w:t xml:space="preserve">liczba koncertów, spektakli, wystaw, artystów, uczestników, wydawnictw, liczba informacji prasowych, </w:t>
      </w:r>
      <w:r>
        <w:rPr>
          <w:rFonts w:cs="Calibri" w:ascii="Arial" w:hAnsi="Arial" w:cstheme="minorHAnsi"/>
          <w:color w:val="000000"/>
          <w:sz w:val="24"/>
          <w:szCs w:val="24"/>
        </w:rPr>
        <w:t xml:space="preserve">statystyki strony internetowej, </w:t>
      </w:r>
      <w:r>
        <w:rPr>
          <w:rFonts w:cs="Calibri" w:ascii="Arial" w:hAnsi="Arial" w:cstheme="minorHAnsi"/>
          <w:sz w:val="24"/>
          <w:szCs w:val="24"/>
        </w:rPr>
        <w:t>liczba wyświetleń, w przypadku realizacji zadania w formie on-line,</w:t>
      </w:r>
      <w:r>
        <w:rPr>
          <w:rFonts w:cs="Calibri" w:ascii="Arial" w:hAnsi="Arial" w:cstheme="minorHAnsi"/>
          <w:bCs/>
          <w:color w:val="000000"/>
          <w:sz w:val="24"/>
          <w:szCs w:val="24"/>
        </w:rPr>
        <w:t xml:space="preserve"> liczba świadczeń np. godzin warsztatowych</w:t>
      </w:r>
      <w:r>
        <w:rPr>
          <w:rFonts w:cs="Calibri" w:ascii="Arial" w:hAnsi="Arial" w:cstheme="minorHAnsi"/>
          <w:color w:val="000000"/>
          <w:sz w:val="24"/>
          <w:szCs w:val="24"/>
        </w:rPr>
        <w:t>.</w:t>
      </w:r>
    </w:p>
    <w:p>
      <w:pPr>
        <w:pStyle w:val="Nagwek2"/>
        <w:spacing w:lineRule="auto" w:line="360"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Edukacja kulturalna </w:t>
      </w:r>
    </w:p>
    <w:p>
      <w:pPr>
        <w:pStyle w:val="Normal"/>
        <w:spacing w:lineRule="auto" w:line="360" w:before="0" w:after="0"/>
        <w:ind w:hanging="0"/>
        <w:rPr>
          <w:rFonts w:ascii="Arial" w:hAnsi="Arial" w:cs="Calibri" w:cstheme="minorHAnsi"/>
          <w:b/>
          <w:b/>
          <w:sz w:val="24"/>
          <w:szCs w:val="24"/>
        </w:rPr>
      </w:pPr>
      <w:r>
        <w:rPr>
          <w:rFonts w:cs="Calibri" w:cstheme="minorHAnsi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ind w:hanging="0"/>
        <w:rPr>
          <w:rFonts w:ascii="Arial" w:hAnsi="Arial"/>
        </w:rPr>
      </w:pPr>
      <w:r>
        <w:rPr>
          <w:rFonts w:cs="Calibri" w:ascii="Arial" w:hAnsi="Arial" w:cstheme="minorHAnsi"/>
          <w:color w:val="000000"/>
          <w:sz w:val="24"/>
          <w:szCs w:val="24"/>
        </w:rPr>
        <w:t xml:space="preserve">Edukacja kulturalna rozumiana jako kształtowanie i podnoszenie kompetencji kulturalnych społeczeństwa, </w:t>
      </w:r>
      <w:r>
        <w:rPr>
          <w:rFonts w:cs="Calibri" w:ascii="Arial" w:hAnsi="Arial" w:cstheme="minorHAnsi"/>
          <w:sz w:val="24"/>
          <w:szCs w:val="24"/>
        </w:rPr>
        <w:t xml:space="preserve">od kształcenia osób odpowiedzialnych za upowszechnianie kultury i edukacji kulturalnej, do przygotowania odbiorców do aktywnego i świadomego uczestnictwa w przestrzeni kulturalnej. </w:t>
      </w:r>
    </w:p>
    <w:p>
      <w:pPr>
        <w:pStyle w:val="Normal"/>
        <w:spacing w:lineRule="auto" w:line="360" w:before="0" w:after="0"/>
        <w:ind w:firstLine="284"/>
        <w:rPr>
          <w:rFonts w:ascii="Arial" w:hAnsi="Arial" w:cs="Calibri" w:cstheme="minorHAnsi"/>
          <w:sz w:val="24"/>
          <w:szCs w:val="24"/>
        </w:rPr>
      </w:pPr>
      <w:r>
        <w:rPr>
          <w:rFonts w:cs="Calibri" w:cstheme="minorHAnsi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cs="Calibri" w:ascii="Arial" w:hAnsi="Arial" w:cstheme="minorHAnsi"/>
          <w:b/>
          <w:sz w:val="24"/>
          <w:szCs w:val="24"/>
        </w:rPr>
        <w:t xml:space="preserve">Celem zadania </w:t>
      </w:r>
      <w:r>
        <w:rPr>
          <w:rFonts w:cs="Calibri" w:ascii="Arial" w:hAnsi="Arial" w:cstheme="minorHAnsi"/>
          <w:b/>
          <w:bCs/>
          <w:sz w:val="24"/>
          <w:szCs w:val="24"/>
        </w:rPr>
        <w:t>jest</w:t>
      </w:r>
      <w:r>
        <w:rPr>
          <w:rFonts w:eastAsia="Times New Roman" w:cs="Calibri" w:ascii="Arial" w:hAnsi="Arial" w:cstheme="minorHAnsi"/>
          <w:b/>
          <w:sz w:val="24"/>
          <w:szCs w:val="24"/>
          <w:lang w:bidi="en-US"/>
        </w:rPr>
        <w:t xml:space="preserve"> poszerzenie kompetencji kulturalnych i</w:t>
      </w:r>
      <w:r>
        <w:rPr>
          <w:rFonts w:eastAsia="Times New Roman" w:cs="Calibri" w:ascii="Arial" w:hAnsi="Arial" w:cstheme="minorHAnsi"/>
          <w:b/>
          <w:color w:val="000000"/>
          <w:sz w:val="24"/>
          <w:szCs w:val="24"/>
          <w:lang w:bidi="en-US"/>
        </w:rPr>
        <w:t xml:space="preserve"> twórczych mieszkańców województwa podkarpackiego.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color w:val="000000"/>
          <w:sz w:val="24"/>
          <w:szCs w:val="24"/>
          <w:lang w:bidi="en-US"/>
        </w:rPr>
      </w:pPr>
      <w:r>
        <w:rPr>
          <w:rFonts w:eastAsia="Times New Roman" w:cs="Calibri" w:cstheme="minorHAnsi" w:ascii="Arial" w:hAnsi="Arial"/>
          <w:color w:val="000000"/>
          <w:sz w:val="24"/>
          <w:szCs w:val="24"/>
          <w:lang w:bidi="en-US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>Przykładowe działania:</w:t>
      </w:r>
      <w:r>
        <w:rPr>
          <w:rFonts w:cs="Calibri" w:ascii="Arial" w:hAnsi="Arial" w:cstheme="minorHAnsi"/>
          <w:bCs/>
          <w:color w:val="0D0D0D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23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 xml:space="preserve">wzbogacenie systemu edukacji poprzez przedsięwzięcia o charakterze kulturalnym </w:t>
        <w:br/>
        <w:t xml:space="preserve">i artystycznym, </w:t>
      </w:r>
    </w:p>
    <w:p>
      <w:pPr>
        <w:pStyle w:val="Normal"/>
        <w:numPr>
          <w:ilvl w:val="0"/>
          <w:numId w:val="23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bidi="en-US"/>
        </w:rPr>
        <w:t xml:space="preserve">inicjowanie przedsięwzięć na styku kultury wyższej i popularnej jako forma zbliżenia odbiorców tych rodzajów działań kulturalnych, </w:t>
      </w:r>
    </w:p>
    <w:p>
      <w:pPr>
        <w:pStyle w:val="Normal"/>
        <w:numPr>
          <w:ilvl w:val="0"/>
          <w:numId w:val="23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 xml:space="preserve">aktywizowanie </w:t>
      </w:r>
      <w:r>
        <w:rPr>
          <w:rFonts w:cs="Calibri" w:ascii="Arial" w:hAnsi="Arial" w:cstheme="minorHAnsi"/>
          <w:sz w:val="24"/>
          <w:szCs w:val="24"/>
        </w:rPr>
        <w:t xml:space="preserve">osób w różnym wieku i z różnych środowisk przez </w:t>
      </w:r>
      <w:r>
        <w:rPr>
          <w:rFonts w:eastAsia="Times New Roman" w:cs="Calibri" w:ascii="Arial" w:hAnsi="Arial" w:cstheme="minorHAnsi"/>
          <w:color w:val="000000"/>
          <w:sz w:val="24"/>
          <w:szCs w:val="24"/>
          <w:lang w:bidi="en-US"/>
        </w:rPr>
        <w:t>inicjatywy kulturalne,</w:t>
      </w:r>
    </w:p>
    <w:p>
      <w:pPr>
        <w:pStyle w:val="Normal"/>
        <w:numPr>
          <w:ilvl w:val="0"/>
          <w:numId w:val="23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wzmocnienie roli i funkcji kultury w życiu mieszkańców województwa,</w:t>
      </w:r>
    </w:p>
    <w:p>
      <w:pPr>
        <w:pStyle w:val="Normal"/>
        <w:spacing w:lineRule="auto" w:line="360"/>
        <w:rPr>
          <w:rFonts w:cs="Calibri" w:cstheme="minorHAnsi"/>
          <w:bCs/>
          <w:sz w:val="24"/>
          <w:szCs w:val="24"/>
        </w:rPr>
      </w:pPr>
      <w:r>
        <w:rPr>
          <w:rFonts w:ascii="Arial" w:hAnsi="Arial"/>
        </w:rPr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cs="Calibri" w:ascii="Arial" w:hAnsi="Arial" w:cstheme="minorHAnsi"/>
          <w:bCs/>
          <w:sz w:val="24"/>
          <w:szCs w:val="24"/>
        </w:rPr>
        <w:t xml:space="preserve">Przykładowe wskaźniki rezultatu/źródła monitorowania: </w:t>
      </w:r>
      <w:r>
        <w:rPr>
          <w:rFonts w:cs="Calibri" w:ascii="Arial" w:hAnsi="Arial" w:cstheme="minorHAnsi"/>
          <w:sz w:val="24"/>
          <w:szCs w:val="24"/>
        </w:rPr>
        <w:t xml:space="preserve">liczba uczestników, liczba odbiorców, dokumentacja fotograficzna, ankiety, testy, wywiady, raporty, liczba przeprowadzonych zajęć, programy, listy obecności. </w:t>
      </w:r>
      <w:bookmarkStart w:id="2" w:name="_Hlk28944642"/>
      <w:bookmarkEnd w:id="2"/>
    </w:p>
    <w:p>
      <w:pPr>
        <w:pStyle w:val="Normal"/>
        <w:numPr>
          <w:ilvl w:val="0"/>
          <w:numId w:val="13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ramach konkursu nie będą sfinansowane/dofinansowane zadania polegające na organizacji imprez integracyjno-rozrywkowych: pikników, festynów, dożynek, wycieczek. Nie będą również wspierane zadania obejmujące wydanie czasopism, publikacji, wydawnictw muzycznych i multimedialnych.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Zadania muszą być zrealizowane na rzecz mieszkańców województwa podkarpackiego. 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>Warunki udziału w konkursie i realizacji zadania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 xml:space="preserve">Podmiotami,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prowadzącymi działalność statutową w zakresie kultury,</w:t>
      </w: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 xml:space="preserve"> uprawnionymi do składania ofert są:</w:t>
      </w:r>
    </w:p>
    <w:p>
      <w:pPr>
        <w:pStyle w:val="Normal"/>
        <w:numPr>
          <w:ilvl w:val="0"/>
          <w:numId w:val="18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 xml:space="preserve">organizacje pozarządowe, zgodnie z art. 3 ust. 2 ustawy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 działalności pożytku publicznego i o wolontariacie,</w:t>
      </w:r>
    </w:p>
    <w:p>
      <w:pPr>
        <w:pStyle w:val="Normal"/>
        <w:numPr>
          <w:ilvl w:val="0"/>
          <w:numId w:val="18"/>
        </w:numPr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osoby prawne i jednostki organizacyjne działające na podstawie przepisów o stosunku Państwa do Kościoła Katolickiego w Rzeczypospolitej Polskiej, o stosunku Państwa do innych kościołów i związków wyznaniowych oraz o gwarancjach wolności sumienia i wyznania, jeżeli ich cele statutowe obejmują prowadzenie działalności pożytku publicznego,</w:t>
      </w:r>
    </w:p>
    <w:p>
      <w:pPr>
        <w:pStyle w:val="Normal"/>
        <w:numPr>
          <w:ilvl w:val="0"/>
          <w:numId w:val="18"/>
        </w:numPr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stowarzyszenia jednostek samorządu terytorialnego, </w:t>
      </w:r>
    </w:p>
    <w:p>
      <w:pPr>
        <w:pStyle w:val="Normal"/>
        <w:numPr>
          <w:ilvl w:val="0"/>
          <w:numId w:val="18"/>
        </w:numPr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spółdzielnie socjalne,</w:t>
      </w:r>
    </w:p>
    <w:p>
      <w:pPr>
        <w:pStyle w:val="Normal"/>
        <w:numPr>
          <w:ilvl w:val="0"/>
          <w:numId w:val="18"/>
        </w:numPr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spółki akcyjne i spółki z ograniczoną odpowiedzialnością oraz kluby sportowe będące spółkami działającymi na podstawie przepisów ustawy z dnia 25 czerwca 2010 r. o sporcie, które nie działają w celu osiągnięcia zysku oraz przeznaczają całość dochodu na realizację celów statutowych oraz nie przeznaczają zysku do podziału między swoich członków, udziałowców, akcjonariuszy i pracowników.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Realizacja zadania może być dokonana wyłącznie w ramach odpłatnej lub nieodpłatnej działalności statutowej oferenta.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Zadanie może być zrealizowane w partnerstwie publiczno-społecznym np. z państwowymi lub samorządowymi instytucjami kultury. Partner może zaangażować do zadania zasoby rzeczowe, osobowe lub merytoryczne. </w:t>
      </w: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Wkład finansowy może być wnoszony wyłącznie przez oferenta w tym konkursie.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Niedozwolone są przepływy finansowe od oferenta do partnera.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Podział zadań i obowiązków musi być określony zarówno w ofercie, jak i w umowie partnerskiej. 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 przypadku projektów partnerskich oceniany będzie również potencjał partnera. 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Informacje o sposobie zaangażowania partnera w realizację zadania należy obowiązkowo przedstawić w pkt. III.3 oferty </w:t>
      </w:r>
      <w:r>
        <w:rPr>
          <w:rFonts w:cs="Calibri" w:ascii="Arial" w:hAnsi="Arial" w:cstheme="minorHAnsi"/>
          <w:bCs/>
          <w:i/>
          <w:iCs/>
          <w:sz w:val="24"/>
          <w:szCs w:val="24"/>
        </w:rPr>
        <w:t>Syntetyczny opis zadania</w:t>
      </w:r>
      <w:r>
        <w:rPr>
          <w:rFonts w:cs="Calibri" w:ascii="Arial" w:hAnsi="Arial" w:cstheme="minorHAnsi"/>
          <w:bCs/>
          <w:sz w:val="24"/>
          <w:szCs w:val="24"/>
        </w:rPr>
        <w:t xml:space="preserve">. 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right="135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Złożenie oferty wspólnej, wymaga spełnienia warunków określonych w art. 14 ust. 2-5 ustawy o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działalności pożytku publicznego i o wolontariacie.</w:t>
      </w:r>
      <w:r>
        <w:rPr>
          <w:rFonts w:eastAsia="Calibri" w:cs="Calibri" w:ascii="Arial" w:hAnsi="Arial" w:cstheme="minorHAnsi"/>
          <w:sz w:val="24"/>
          <w:szCs w:val="24"/>
          <w:lang w:eastAsia="pl-PL"/>
        </w:rPr>
        <w:t xml:space="preserve"> Niedozwolone jest składanie ofert wspólnych, w których oferentami są oddziały terenowe tej samej organizacji. 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 ofercie w pkt III.4 </w:t>
      </w:r>
      <w:r>
        <w:rPr>
          <w:rFonts w:eastAsia="Times New Roman" w:cs="Calibri" w:ascii="Arial" w:hAnsi="Arial" w:cstheme="minorHAnsi"/>
          <w:i/>
          <w:iCs/>
          <w:sz w:val="24"/>
          <w:szCs w:val="24"/>
          <w:lang w:eastAsia="pl-PL"/>
        </w:rPr>
        <w:t xml:space="preserve">Plan i harmonogram działań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kolumnie</w:t>
      </w:r>
      <w:r>
        <w:rPr>
          <w:rFonts w:eastAsia="Times New Roman" w:cs="Calibri" w:ascii="Arial" w:hAnsi="Arial" w:cstheme="minorHAnsi"/>
          <w:i/>
          <w:iCs/>
          <w:sz w:val="24"/>
          <w:szCs w:val="24"/>
          <w:lang w:eastAsia="pl-PL"/>
        </w:rPr>
        <w:t xml:space="preserve"> Opis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należy wskazać czynniki ryzyka, które mogą spowodować negatywny wpływ na realizację poszczególnych działań zadania.</w:t>
      </w:r>
      <w:r>
        <w:rPr>
          <w:rFonts w:eastAsia="Times New Roman" w:cs="Calibri" w:ascii="Arial" w:hAnsi="Arial" w:cstheme="minorHAnsi"/>
          <w:i/>
          <w:iCs/>
          <w:sz w:val="24"/>
          <w:szCs w:val="24"/>
          <w:lang w:eastAsia="pl-PL"/>
        </w:rPr>
        <w:t xml:space="preserve"> 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pkt III.6 oferty należy obowiązkowo wypełnić tabelę</w:t>
      </w:r>
      <w:r>
        <w:rPr>
          <w:rFonts w:eastAsia="Times New Roman" w:cs="Calibri" w:ascii="Arial" w:hAnsi="Arial" w:cstheme="minorHAnsi"/>
          <w:i/>
          <w:sz w:val="24"/>
          <w:szCs w:val="24"/>
          <w:lang w:eastAsia="pl-PL"/>
        </w:rPr>
        <w:t xml:space="preserve"> Dodatkowe informacje dotyczące rezultatów realizacji zadania publicznego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.</w:t>
      </w:r>
      <w:r>
        <w:rPr>
          <w:rFonts w:cs="Calibri" w:ascii="Arial" w:hAnsi="Arial" w:cstheme="minorHAnsi"/>
          <w:sz w:val="24"/>
          <w:szCs w:val="24"/>
        </w:rPr>
        <w:t xml:space="preserve"> </w:t>
      </w: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Rezultaty wskazane w ofercie muszą być weryfikowalne i mierzalne, oddawać cele oraz zakres rzeczowy zadania. Rezultaty powinny być wynikiem przeprowadzonych przez oferenta działań.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Środki </w:t>
      </w:r>
      <w:r>
        <w:rPr>
          <w:rFonts w:ascii="Arial" w:hAnsi="Arial"/>
        </w:rPr>
        <w:t>przeznaczone</w:t>
      </w:r>
      <w:r>
        <w:rPr>
          <w:rFonts w:eastAsia="Times New Roman" w:ascii="Arial" w:hAnsi="Arial"/>
          <w:lang w:eastAsia="pl-PL"/>
        </w:rPr>
        <w:t xml:space="preserve"> na realizację zadań 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Na realizację wszystkich zadań konkursowych planuje się przeznaczyć w 2021 r. środki finansowe w wysokości 500 000 zł (słownie: pięćset tysięcy złotych).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Wysokość środków publicznych przeznaczonych na realizację zadań konkursowych może ulec zmianie.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Minimalna kwota dotacji wynosi 8 000 zł (słownie: osiem tysięcy złotych).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Maksymalna kwota dotacji wynosi 30 000 zł (słownie: trzydzieści tysięcy złotych).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ascii="Arial" w:hAnsi="Arial"/>
        </w:rPr>
        <w:t>Dokumenty konkursowe</w:t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ascii="Arial" w:hAnsi="Arial"/>
          <w:sz w:val="24"/>
          <w:szCs w:val="24"/>
        </w:rPr>
        <w:t>Dokumenty, o których mowa w tym konkursie:</w:t>
      </w:r>
    </w:p>
    <w:p>
      <w:pPr>
        <w:pStyle w:val="ListParagraph"/>
        <w:numPr>
          <w:ilvl w:val="0"/>
          <w:numId w:val="27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ascii="Arial" w:hAnsi="Arial"/>
          <w:sz w:val="24"/>
          <w:szCs w:val="24"/>
        </w:rPr>
        <w:t>wzór oferty realizacji zadania publicznego,</w:t>
      </w:r>
    </w:p>
    <w:p>
      <w:pPr>
        <w:pStyle w:val="ListParagraph"/>
        <w:numPr>
          <w:ilvl w:val="0"/>
          <w:numId w:val="27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ascii="Arial" w:hAnsi="Arial"/>
          <w:sz w:val="24"/>
          <w:szCs w:val="24"/>
        </w:rPr>
        <w:t>ramowy wzór umowy na realizację zadania publicznego,</w:t>
      </w:r>
    </w:p>
    <w:p>
      <w:pPr>
        <w:pStyle w:val="ListParagraph"/>
        <w:numPr>
          <w:ilvl w:val="0"/>
          <w:numId w:val="27"/>
        </w:numPr>
        <w:spacing w:lineRule="auto" w:line="360"/>
        <w:ind w:left="284" w:hanging="284"/>
        <w:rPr>
          <w:rFonts w:ascii="Arial" w:hAnsi="Arial"/>
        </w:rPr>
      </w:pPr>
      <w:r>
        <w:rPr>
          <w:rFonts w:ascii="Arial" w:hAnsi="Arial"/>
          <w:sz w:val="24"/>
          <w:szCs w:val="24"/>
        </w:rPr>
        <w:t>wzór sprawozdania z wykonania zadania publicznego,</w:t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ascii="Arial" w:hAnsi="Arial"/>
          <w:sz w:val="24"/>
          <w:szCs w:val="24"/>
        </w:rPr>
        <w:t xml:space="preserve">zostały </w:t>
      </w: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 xml:space="preserve">określone </w:t>
      </w:r>
      <w:bookmarkStart w:id="3" w:name="_Hlk28857269"/>
      <w:r>
        <w:rPr>
          <w:rFonts w:eastAsia="Times New Roman" w:cs="Calibri" w:ascii="Arial" w:hAnsi="Arial" w:cstheme="minorHAnsi"/>
          <w:color w:val="000000"/>
          <w:sz w:val="24"/>
          <w:szCs w:val="24"/>
          <w:lang w:eastAsia="pl-PL"/>
        </w:rPr>
        <w:t>rozporządzeniem Przewodniczącego Komitetu do spraw Pożytku Publicznego z dnia 24 października 2018 r. w sprawie wzorów ofert i ramowych wzorów umów dotyczących realizacji zadań publicznych oraz wzorów sprawozdań z wykonania tych zadań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(Dz. U. z 2018 r. poz. 2057)</w:t>
      </w:r>
      <w:bookmarkEnd w:id="3"/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. </w:t>
      </w:r>
    </w:p>
    <w:p>
      <w:pPr>
        <w:pStyle w:val="Normal"/>
        <w:spacing w:lineRule="auto" w:line="360"/>
        <w:rPr>
          <w:rFonts w:ascii="Arial" w:hAnsi="Arial"/>
        </w:rPr>
      </w:pPr>
      <w:bookmarkStart w:id="4" w:name="_GoBack"/>
      <w:bookmarkEnd w:id="4"/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Ofertę należy złożyć na wzorze wskazanym w rozporządzeniu.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Zasady </w:t>
      </w:r>
      <w:r>
        <w:rPr>
          <w:rFonts w:ascii="Arial" w:hAnsi="Arial"/>
        </w:rPr>
        <w:t>składania</w:t>
      </w:r>
      <w:r>
        <w:rPr>
          <w:rFonts w:eastAsia="Times New Roman" w:ascii="Arial" w:hAnsi="Arial"/>
          <w:lang w:eastAsia="pl-PL"/>
        </w:rPr>
        <w:t xml:space="preserve"> ofert</w:t>
      </w:r>
    </w:p>
    <w:p>
      <w:pPr>
        <w:pStyle w:val="Normal"/>
        <w:numPr>
          <w:ilvl w:val="0"/>
          <w:numId w:val="2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Oferty można składać w wersji papierowej osobiście w Kancelarii Ogólnej Urzędu Marszałkowskiego Województwa Podkarpackiego w Rzeszowie, al. Łukasza Cieplińskiego 4, w godz. 7.30-15.30. </w:t>
      </w:r>
    </w:p>
    <w:p>
      <w:pPr>
        <w:pStyle w:val="Normal"/>
        <w:numPr>
          <w:ilvl w:val="0"/>
          <w:numId w:val="2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Oferty można przesłać na adres korespondencyjny: Departament Kultury i Ochrony Dziedzictwa Narodowego Urzędu Marszałkowskiego, al. Łukasza Cieplińskiego 4, 35-010 Rzeszów, z dopiskiem „Mecenat kulturalny”. Decyduje data nadania pocztowego.</w:t>
      </w:r>
      <w:r>
        <w:rPr>
          <w:rFonts w:eastAsia="Times New Roman" w:cs="Calibri" w:ascii="Arial" w:hAnsi="Arial" w:cstheme="minorHAnsi"/>
          <w:b/>
          <w:sz w:val="24"/>
          <w:szCs w:val="24"/>
          <w:lang w:eastAsia="pl-PL"/>
        </w:rPr>
        <w:t xml:space="preserve"> </w:t>
      </w:r>
    </w:p>
    <w:p>
      <w:pPr>
        <w:pStyle w:val="Normal"/>
        <w:numPr>
          <w:ilvl w:val="0"/>
          <w:numId w:val="2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Ofertę można złożyć za pośrednictwem Elektronicznej Skrzynki Podawczej, z wykorzystaniem platformy ePUAP. Dokumenty elektroniczne muszą być podpisane ważnym, kwalifikowanym podpisem cyfrowym lub profilem zaufanym. Decyduje data nadania.</w:t>
      </w:r>
    </w:p>
    <w:p>
      <w:pPr>
        <w:pStyle w:val="Normal"/>
        <w:numPr>
          <w:ilvl w:val="0"/>
          <w:numId w:val="2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Oferta musi zawierać podpisy osób uprawnionych do składania oświadczeń woli, zgodnie </w:t>
        <w:br/>
        <w:t xml:space="preserve">z odpisem z Krajowego Rejestru Sądowego, ewidencji lub z innym dokumentem potwierdzającym status prawny podmiotu i umocowanie osób reprezentujących podmiot. </w:t>
      </w:r>
    </w:p>
    <w:p>
      <w:pPr>
        <w:pStyle w:val="Normal"/>
        <w:numPr>
          <w:ilvl w:val="0"/>
          <w:numId w:val="20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bookmarkStart w:id="5" w:name="_Hlk29883950"/>
      <w:r>
        <w:rPr>
          <w:rFonts w:eastAsia="Times New Roman" w:cs="Calibri" w:ascii="Arial" w:hAnsi="Arial" w:cstheme="minorHAnsi"/>
          <w:b/>
          <w:sz w:val="24"/>
          <w:szCs w:val="24"/>
          <w:lang w:eastAsia="pl-PL"/>
        </w:rPr>
        <w:t>Do oferty nie dołącza się załączników</w:t>
      </w:r>
      <w:bookmarkEnd w:id="5"/>
      <w:r>
        <w:rPr>
          <w:rFonts w:eastAsia="Times New Roman" w:cs="Calibri" w:ascii="Arial" w:hAnsi="Arial" w:cstheme="minorHAnsi"/>
          <w:b/>
          <w:sz w:val="24"/>
          <w:szCs w:val="24"/>
          <w:lang w:eastAsia="pl-PL"/>
        </w:rPr>
        <w:t>.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284" w:leader="none"/>
          <w:tab w:val="left" w:pos="426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/>
          <w:sz w:val="24"/>
          <w:szCs w:val="24"/>
          <w:lang w:eastAsia="pl-PL"/>
        </w:rPr>
        <w:t xml:space="preserve">Oferent może do konkursu pn. „Mecenat kulturalny” złożyć 2 oferty. 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284" w:leader="none"/>
          <w:tab w:val="left" w:pos="426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Złożenie oferty nie jest równoznaczne z przyznaniem dotacji. 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Terminy </w:t>
      </w:r>
      <w:r>
        <w:rPr>
          <w:rFonts w:ascii="Arial" w:hAnsi="Arial"/>
        </w:rPr>
        <w:t>konkursowe</w:t>
      </w:r>
    </w:p>
    <w:p>
      <w:pPr>
        <w:pStyle w:val="ListParagraph"/>
        <w:numPr>
          <w:ilvl w:val="0"/>
          <w:numId w:val="32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/>
          <w:bCs/>
          <w:sz w:val="24"/>
          <w:szCs w:val="24"/>
          <w:lang w:eastAsia="pl-PL"/>
        </w:rPr>
        <w:t>Nabór ofert trwa do 30 kwietnia 2021 r.</w:t>
      </w:r>
    </w:p>
    <w:p>
      <w:pPr>
        <w:pStyle w:val="ListParagraph"/>
        <w:numPr>
          <w:ilvl w:val="0"/>
          <w:numId w:val="32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Przewidywany termin zamieszczenia wykazu ofert z błędami formalnymi na stronie internetowej Urzędu: do 17 maja 2021 r.</w:t>
      </w:r>
    </w:p>
    <w:p>
      <w:pPr>
        <w:pStyle w:val="ListParagraph"/>
        <w:numPr>
          <w:ilvl w:val="0"/>
          <w:numId w:val="32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Przewidywany termin rozstrzygnięcia konkursu: do 30 czerwca 2021 r.</w:t>
      </w:r>
    </w:p>
    <w:p>
      <w:pPr>
        <w:pStyle w:val="ListParagraph"/>
        <w:numPr>
          <w:ilvl w:val="0"/>
          <w:numId w:val="32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Przewidywany termin podpisania umowy: do 30 lipca 2021 r.</w:t>
      </w:r>
      <w:r>
        <w:rPr>
          <w:rFonts w:cs="Calibri" w:ascii="Arial" w:hAnsi="Arial" w:cstheme="minorHAnsi"/>
          <w:sz w:val="24"/>
          <w:szCs w:val="24"/>
          <w:lang w:eastAsia="pl-PL"/>
        </w:rPr>
        <w:t xml:space="preserve"> 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Termin </w:t>
      </w:r>
      <w:r>
        <w:rPr>
          <w:rFonts w:ascii="Arial" w:hAnsi="Arial"/>
        </w:rPr>
        <w:t>realizacji</w:t>
      </w:r>
      <w:r>
        <w:rPr>
          <w:rFonts w:eastAsia="Times New Roman" w:ascii="Arial" w:hAnsi="Arial"/>
          <w:lang w:eastAsia="pl-PL"/>
        </w:rPr>
        <w:t xml:space="preserve"> zadań </w:t>
      </w:r>
    </w:p>
    <w:p>
      <w:pPr>
        <w:pStyle w:val="Normal"/>
        <w:numPr>
          <w:ilvl w:val="0"/>
          <w:numId w:val="14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Realizacja zadań konkursowych: od 1 czerwca do 30 listopada 2021 r.</w:t>
      </w:r>
    </w:p>
    <w:p>
      <w:pPr>
        <w:pStyle w:val="Normal"/>
        <w:numPr>
          <w:ilvl w:val="0"/>
          <w:numId w:val="14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Termin realizacji zadań może być krótszy, a w uzasadnionych przypadkach może zostać wydłużony do 15 grudnia 2021 roku.</w:t>
      </w:r>
    </w:p>
    <w:p>
      <w:pPr>
        <w:pStyle w:val="Normal"/>
        <w:numPr>
          <w:ilvl w:val="0"/>
          <w:numId w:val="14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Podmiot może realizować  działania, niewymagające finansowania lub finansowane ze środków własnych bądź z innych źródeł, przed datą podpisania umowy.</w:t>
      </w:r>
    </w:p>
    <w:p>
      <w:pPr>
        <w:pStyle w:val="Normal"/>
        <w:numPr>
          <w:ilvl w:val="0"/>
          <w:numId w:val="14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Wydatki ze środków pochodzących z dotacji mogą być ponoszone od dnia podpisania umowy.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Zlecanie zadań i zasady </w:t>
      </w:r>
      <w:r>
        <w:rPr>
          <w:rFonts w:ascii="Arial" w:hAnsi="Arial"/>
        </w:rPr>
        <w:t>udzielania</w:t>
      </w:r>
      <w:r>
        <w:rPr>
          <w:rFonts w:eastAsia="Times New Roman" w:ascii="Arial" w:hAnsi="Arial"/>
          <w:lang w:eastAsia="pl-PL"/>
        </w:rPr>
        <w:t xml:space="preserve"> dotacji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1.</w:t>
      </w:r>
      <w:r>
        <w:rPr>
          <w:rFonts w:eastAsia="Times New Roman" w:cs="Calibri" w:ascii="Arial" w:hAnsi="Arial" w:cstheme="minorHAnsi"/>
          <w:b/>
          <w:bCs/>
          <w:sz w:val="24"/>
          <w:szCs w:val="24"/>
          <w:lang w:eastAsia="pl-PL"/>
        </w:rPr>
        <w:t xml:space="preserve"> Zlecanie zadań publicznych będzie mieć formę powierzenia lub wsparcia wraz z udzieleniem dotacji na sfinansowanie/dofinansowanie ich realizacji.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Dotacja może być udzielona wyłącznie na wydatki: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284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bezpośrednio związane z realizacją zadania publicznego,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284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racjonalne i efektywne,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284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uwzględnione w budżecie zadania,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284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udokumentowane dowodami księgowymi, które muszą być wystawione w terminie realizacji zadania,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284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dla których prowadzona jest wyodrębniona dokumentacja finansowo-księgowa,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284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ujęte w ewidencji księgowej dotowanego podmiotu.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426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Dotacja nie może być przyznana na pokrycie: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kosztów wynagrodzeń osobowych pracowników etatowych (np. obsługa księgowa, informatyczna, administracyjno-biurowa),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kosztów utrzymania biura, niezwiązanych bezpośrednio z realizacją zadania (np. opłaty czynszowe, abonamentowe, rachunki telefoniczne, materiały biurowe),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kosztów wycieczek, zakupu biletów wstępu,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kosztów zakupu artykułów spożywczych, wyżywienia, usług cateringowych,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zakupu budynków, lokali, gruntów,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prac remontowo-budowlanych,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inwestycji, zakupów inwestycyjnych,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kosztów działalności gospodarczej, politycznej, religijnej, 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39" w:hanging="255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zobowiązań z realizacji innych przedsięwzięć.</w:t>
      </w:r>
    </w:p>
    <w:p>
      <w:pPr>
        <w:pStyle w:val="Normal"/>
        <w:numPr>
          <w:ilvl w:val="0"/>
          <w:numId w:val="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Kwota udzielonej dotacji może być niższa od określonej w ofercie. </w:t>
      </w:r>
    </w:p>
    <w:p>
      <w:pPr>
        <w:pStyle w:val="Normal"/>
        <w:numPr>
          <w:ilvl w:val="0"/>
          <w:numId w:val="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Zarząd Województwa, przyznając dotację z budżetu Województwa Podkarpackiego może wskazać wybrane pozycje z kalkulacji kosztów do objęcia dofinansowaniem.</w:t>
      </w:r>
      <w:r>
        <w:rPr>
          <w:rFonts w:cs="Calibri" w:ascii="Arial" w:hAnsi="Arial" w:cstheme="minorHAnsi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Dotacja nie może być przyznana dla zadania, które uzyskało wsparcie finansowe ze środków budżetu Województwa Podkarpackiego</w:t>
      </w:r>
      <w:r>
        <w:rPr>
          <w:rFonts w:eastAsia="Times New Roman" w:cs="Calibri" w:ascii="Arial" w:hAnsi="Arial" w:cstheme="minorHAnsi"/>
          <w:color w:val="FF0000"/>
          <w:sz w:val="24"/>
          <w:szCs w:val="24"/>
          <w:lang w:eastAsia="pl-PL"/>
        </w:rPr>
        <w:t>,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pozostających w dyspozycji innych komórek organizacyjnych Urzędu Marszałkowskiego. 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 </w:t>
      </w:r>
      <w:r>
        <w:rPr>
          <w:rFonts w:ascii="Arial" w:hAnsi="Arial"/>
        </w:rPr>
        <w:t>Wymagania</w:t>
      </w:r>
      <w:r>
        <w:rPr>
          <w:rFonts w:eastAsia="Times New Roman" w:ascii="Arial" w:hAnsi="Arial"/>
          <w:lang w:eastAsia="pl-PL"/>
        </w:rPr>
        <w:t xml:space="preserve"> wkładu własnego, budżet zadań 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0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Wymagany wkład własny określony jest w zależności od wysokości wnioskowanej dotacji:</w:t>
      </w:r>
    </w:p>
    <w:p>
      <w:pPr>
        <w:pStyle w:val="Normal"/>
        <w:numPr>
          <w:ilvl w:val="2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bookmarkStart w:id="6" w:name="_Hlk28855214"/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dla zadania, którego wysokość wnioskowanej kwoty dotacji nie przekracza 10 000 zł wkład własny nie jest wymagany</w:t>
      </w:r>
      <w:bookmarkEnd w:id="6"/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,</w:t>
      </w:r>
    </w:p>
    <w:p>
      <w:pPr>
        <w:pStyle w:val="Normal"/>
        <w:numPr>
          <w:ilvl w:val="2"/>
          <w:numId w:val="4"/>
        </w:numPr>
        <w:tabs>
          <w:tab w:val="clear" w:pos="708"/>
          <w:tab w:val="left" w:pos="567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dla zadania, którego wysokość wnioskowanej kwoty dotacji przekracza 10 000 zł,</w:t>
      </w:r>
      <w:r>
        <w:rPr>
          <w:rFonts w:eastAsia="Times New Roman" w:cs="Calibri" w:ascii="Arial" w:hAnsi="Arial" w:cstheme="minorHAnsi"/>
          <w:color w:val="FF0000"/>
          <w:sz w:val="24"/>
          <w:szCs w:val="24"/>
          <w:lang w:eastAsia="pl-PL"/>
        </w:rPr>
        <w:t xml:space="preserve">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wkład własny (osobowy, rzeczowy lub finansowy) musi stanowić co najmniej 10% wartości dotacji.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0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Koszty dofinansowania zakupu sprzętu lub wyposażenia nie mogą przekroczyć 30% wartości dotacji.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90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Koszty administracyjne mogą obejmować m.in.: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koordynację zadania, 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obsługę księgową zadania, 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obsługę prawną zadania,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opłaty telekomunikacyjne, opłaty pocztowe,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opłaty za przelewy bankowe, 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usługi internetowe,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artykuły biurowe,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900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wyjazdy służbowe osób zaangażowanych w obsługę zadania.</w:t>
      </w:r>
      <w:r>
        <w:rPr>
          <w:rFonts w:eastAsia="Times New Roman" w:cs="Calibri" w:ascii="Arial" w:hAnsi="Arial" w:cstheme="minorHAnsi"/>
          <w:color w:val="FF0000"/>
          <w:sz w:val="24"/>
          <w:szCs w:val="24"/>
          <w:lang w:eastAsia="pl-PL"/>
        </w:rPr>
        <w:t xml:space="preserve"> 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90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Poziom kosztów administracyjnych nie może przekroczyć 10% wszystkich kosztów realizacji zadania.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Wolontariat, praca </w:t>
      </w:r>
      <w:r>
        <w:rPr>
          <w:rFonts w:ascii="Arial" w:hAnsi="Arial"/>
        </w:rPr>
        <w:t>społeczna</w:t>
      </w:r>
      <w:r>
        <w:rPr>
          <w:rFonts w:eastAsia="Times New Roman" w:ascii="Arial" w:hAnsi="Arial"/>
          <w:lang w:eastAsia="pl-PL"/>
        </w:rPr>
        <w:t>, wkład rzeczowy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 przypadku realizacji zadania z udziałem świadczeń wykonywanych przez wolontariuszy, należy podpisać indywidualne porozumienia i </w:t>
      </w:r>
      <w:r>
        <w:rPr>
          <w:rFonts w:cs="Calibri" w:ascii="Arial" w:hAnsi="Arial" w:cstheme="minorHAnsi"/>
          <w:sz w:val="24"/>
          <w:szCs w:val="24"/>
        </w:rPr>
        <w:t xml:space="preserve">prowadzić karty czasu pracy. Karta pracy wolontariusza powinna zawierać m.in.: </w:t>
      </w:r>
    </w:p>
    <w:p>
      <w:pPr>
        <w:pStyle w:val="ListParagraph"/>
        <w:numPr>
          <w:ilvl w:val="0"/>
          <w:numId w:val="24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imię i nazwisko wolontariusza, </w:t>
      </w:r>
    </w:p>
    <w:p>
      <w:pPr>
        <w:pStyle w:val="ListParagraph"/>
        <w:numPr>
          <w:ilvl w:val="0"/>
          <w:numId w:val="24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nazwę zadania, </w:t>
      </w:r>
    </w:p>
    <w:p>
      <w:pPr>
        <w:pStyle w:val="ListParagraph"/>
        <w:numPr>
          <w:ilvl w:val="0"/>
          <w:numId w:val="24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opis czynności wykonywanych przez wolontariusza,</w:t>
      </w:r>
    </w:p>
    <w:p>
      <w:pPr>
        <w:pStyle w:val="ListParagraph"/>
        <w:numPr>
          <w:ilvl w:val="0"/>
          <w:numId w:val="24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liczbę przepracowanych godzin wraz z terminem i miejscem wykonania świadczenia, </w:t>
      </w:r>
    </w:p>
    <w:p>
      <w:pPr>
        <w:pStyle w:val="ListParagraph"/>
        <w:numPr>
          <w:ilvl w:val="0"/>
          <w:numId w:val="24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podpis osoby uprawnionej do reprezentacji podmiotu lub koordynatora zadania.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Wolontariusz nie może być uczestnikiem zadania.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Wolontariusz powinien posiadać kwalifikacje i spełniać wymagania, odpowiednie do rodzaju i zakresu wykonywanych świadczeń, które należy opisać w ofercie w pkt IV.2 </w:t>
      </w:r>
      <w:r>
        <w:rPr>
          <w:rFonts w:cs="Calibri" w:ascii="Arial" w:hAnsi="Arial" w:cstheme="minorHAnsi"/>
          <w:i/>
          <w:sz w:val="24"/>
          <w:szCs w:val="24"/>
        </w:rPr>
        <w:t xml:space="preserve">Zasoby kadrowe, rzeczowe i finansowe oferenta, </w:t>
      </w:r>
      <w:bookmarkStart w:id="7" w:name="_Hlk66950503"/>
      <w:r>
        <w:rPr>
          <w:rFonts w:cs="Calibri" w:ascii="Arial" w:hAnsi="Arial" w:cstheme="minorHAnsi"/>
          <w:i/>
          <w:sz w:val="24"/>
          <w:szCs w:val="24"/>
        </w:rPr>
        <w:t>które będą wykorzystane do realizacji zadania</w:t>
      </w:r>
      <w:bookmarkEnd w:id="7"/>
      <w:r>
        <w:rPr>
          <w:rFonts w:cs="Calibri" w:ascii="Arial" w:hAnsi="Arial" w:cstheme="minorHAnsi"/>
          <w:sz w:val="24"/>
          <w:szCs w:val="24"/>
        </w:rPr>
        <w:t>.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Stawki godzinowe do wyceny wkładu osobowego: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426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prace techniczne i pomocnicze: maksymalnie 30 zł za godzinę,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426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prace specjalistów i ekspertów: maksymalnie 80 zł za godzinę,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426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przypadku zastosowania innych stawek, oferent musi uzasadnić wysokość stawki. Brak uzasadnienia skutkuje uznaniem kosztu za niekwalifikowany.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Praca społeczna członków organizacji może być uwzględniona w realizacji zadania na podstawie oświadczeń potwierdzających przynależność do organizacji przez osoby uprawnione. 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Wkładem rzeczowym może być zasób stanowiący własność organizacji, np. środki transportu, urządzenia i nieruchomości. Wkładem rzeczowym może być również zasób udostępniony oraz usługa świadczona na rzecz organizacji przez inny podmiot nieodpłatnie. 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Wycenie podlega tylko taki koszt, który byłby poniesiony przez organizację w przypadku, gdy zasób ten pozostawałby poza dyspozycją organizacji (np. koszt wynajmu lokalu, w którym będą przeprowadzone działania). 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Kalkulacja wartości wkładu rzeczowego powinna opierać się na podstawie cen rynkowych, potwierdzonych np. wydrukiem ze strony internetowej lub odpowiedzią na zapytanie ofertowe.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Wkład rzeczowy wniesiony do realizacji zadania musi być udokumentowany np. fakturą/rachunkiem, umową użyczenia, porozumieniem, oświadczeniem.</w:t>
      </w:r>
    </w:p>
    <w:p>
      <w:pPr>
        <w:pStyle w:val="Normal"/>
        <w:numPr>
          <w:ilvl w:val="0"/>
          <w:numId w:val="15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cs="Calibri" w:ascii="Arial" w:hAnsi="Arial" w:cstheme="minorHAnsi"/>
          <w:color w:val="000000"/>
          <w:sz w:val="24"/>
          <w:szCs w:val="24"/>
        </w:rPr>
        <w:t xml:space="preserve">Wniesiony wkład rzeczowy w realizację zadania, także przez partnerów, należy opisać </w:t>
        <w:br/>
        <w:t xml:space="preserve">w ofercie w pkt IV.2 </w:t>
      </w:r>
      <w:r>
        <w:rPr>
          <w:rFonts w:cs="Calibri" w:ascii="Arial" w:hAnsi="Arial" w:cstheme="minorHAnsi"/>
          <w:i/>
          <w:iCs/>
          <w:color w:val="000000"/>
          <w:sz w:val="24"/>
          <w:szCs w:val="24"/>
        </w:rPr>
        <w:t>Zasoby kadrowe, rzeczowe i finansowe oferenta,</w:t>
      </w:r>
      <w:r>
        <w:rPr>
          <w:rFonts w:cs="Calibri" w:ascii="Arial" w:hAnsi="Arial" w:cstheme="minorHAnsi"/>
          <w:i/>
          <w:sz w:val="24"/>
          <w:szCs w:val="24"/>
        </w:rPr>
        <w:t xml:space="preserve"> które będą wykorzystane do realizacji zadania</w:t>
      </w:r>
      <w:r>
        <w:rPr>
          <w:rFonts w:cs="Calibri" w:ascii="Arial" w:hAnsi="Arial" w:cstheme="minorHAnsi"/>
          <w:i/>
          <w:iCs/>
          <w:color w:val="000000"/>
          <w:sz w:val="24"/>
          <w:szCs w:val="24"/>
        </w:rPr>
        <w:t>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Ocena formalna, </w:t>
      </w:r>
      <w:r>
        <w:rPr>
          <w:rFonts w:ascii="Arial" w:hAnsi="Arial"/>
        </w:rPr>
        <w:t>merytoryczna</w:t>
      </w:r>
      <w:r>
        <w:rPr>
          <w:rFonts w:eastAsia="Times New Roman" w:ascii="Arial" w:hAnsi="Arial"/>
          <w:lang w:eastAsia="pl-PL"/>
        </w:rPr>
        <w:t>, wybór ofert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Komisja konkursowa ocenia oferty pod względem formalnym i merytorycznym.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Pracownicy Departamentu Kultury i Ochrony Dziedzictwa Narodowego (członkowie komisji) dokonują niezwłocznie oceny formalnej ofert. 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Jeżeli oferta będzie:</w:t>
      </w:r>
    </w:p>
    <w:p>
      <w:pPr>
        <w:pStyle w:val="ListParagraph"/>
        <w:numPr>
          <w:ilvl w:val="0"/>
          <w:numId w:val="25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złożona na niewłaściwym formularzu, innym niż określony w ogłoszeniu o konkursie,</w:t>
      </w:r>
    </w:p>
    <w:p>
      <w:pPr>
        <w:pStyle w:val="ListParagraph"/>
        <w:numPr>
          <w:ilvl w:val="0"/>
          <w:numId w:val="25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złożona przez podmiot nieuprawniony,</w:t>
      </w:r>
    </w:p>
    <w:p>
      <w:pPr>
        <w:pStyle w:val="ListParagraph"/>
        <w:numPr>
          <w:ilvl w:val="0"/>
          <w:numId w:val="25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złożona po terminie, </w:t>
      </w:r>
    </w:p>
    <w:p>
      <w:pPr>
        <w:pStyle w:val="Normal"/>
        <w:spacing w:lineRule="auto" w:line="360" w:before="0" w:after="0"/>
        <w:ind w:left="360" w:hanging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nie podlega ocenie i zostaje odrzucona z powodu błędów formalnych.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O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ferent może poprawić ofertę, gdy: 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0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termin realizacji zadania jest niezgodny z ogłoszonym w konkursie,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0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kalkulacja kosztów zadania jest nieprawidłowo sporządzona pod względem formalno-rachunkowym,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0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treść oferty jest niezgodna z treścią Regulaminu konkursu,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0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 xml:space="preserve">nie zostały wypełnione wszystkie pola i rubryki w ofercie, w tym oświadczenia. 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rPr/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Wykaz ofert z błędami/uchybieniami formalnymi zostanie zamieszczony na stronie internetowej </w:t>
      </w:r>
      <w:hyperlink r:id="rId2">
        <w:r>
          <w:rPr>
            <w:rFonts w:eastAsia="Times New Roman" w:cs="Calibri" w:ascii="Arial" w:hAnsi="Arial" w:cstheme="minorHAnsi"/>
            <w:sz w:val="24"/>
            <w:szCs w:val="24"/>
            <w:lang w:eastAsia="pl-PL"/>
          </w:rPr>
          <w:t>Urzędu</w:t>
        </w:r>
      </w:hyperlink>
      <w:r>
        <w:rPr>
          <w:rFonts w:ascii="Arial" w:hAnsi="Arial"/>
          <w:color w:val="FF0000"/>
        </w:rPr>
        <w:t xml:space="preserve"> </w:t>
      </w:r>
      <w:r>
        <w:rPr>
          <w:rFonts w:ascii="Arial" w:hAnsi="Arial"/>
        </w:rPr>
        <w:t>w celu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dokonania poprawek. Korekta oferty musi być złożona w terminie do 7 dni kalendarzowych, licząc od dnia następnego,</w:t>
      </w:r>
      <w:r>
        <w:rPr>
          <w:rFonts w:eastAsia="Times New Roman" w:cs="Calibri" w:ascii="Arial" w:hAnsi="Arial" w:cstheme="minorHAnsi"/>
          <w:color w:val="FF0000"/>
          <w:sz w:val="24"/>
          <w:szCs w:val="24"/>
          <w:lang w:eastAsia="pl-PL"/>
        </w:rPr>
        <w:t xml:space="preserve">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po dniu opublikowania listy (decyduje data wpływu do Urzędu). 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przypadku niedokonania lub niewłaściwego dokonania korekty Komisja pozostawia ofertę bez rozpatrzenia.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Komisja może żądać od oferentów dodatkowych informacji oraz wyjaśnień dotyczących złożonych ofert.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Ocenie merytorycznej podlegają wyłącznie oferty spełniające wymogi formalne.</w:t>
      </w:r>
    </w:p>
    <w:p>
      <w:pPr>
        <w:pStyle w:val="Normal"/>
        <w:numPr>
          <w:ilvl w:val="0"/>
          <w:numId w:val="16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Komisja ocenia oferty, biorąc pod uwagę kryteria oceny merytorycznej, tj.: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360" w:leader="none"/>
        </w:tabs>
        <w:spacing w:lineRule="auto" w:line="360" w:before="0" w:after="0"/>
        <w:ind w:left="567" w:hanging="283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możliwość realizacji zadania publicznego (celowość realizacji zadania, </w:t>
      </w:r>
      <w:r>
        <w:rPr>
          <w:rFonts w:eastAsia="Times New Roman" w:cs="Calibri" w:ascii="Arial" w:hAnsi="Arial" w:cstheme="minorHAnsi"/>
          <w:color w:val="000000"/>
          <w:sz w:val="24"/>
          <w:szCs w:val="24"/>
          <w:lang w:eastAsia="pl-PL"/>
        </w:rPr>
        <w:t>zgodność założonych rezultatów z celami zadania, sposób ich monitorowania, trwałość, adekwatność działań w stosunku do zakresu zadania)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(0-24 pkt.),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360" w:leader="none"/>
        </w:tabs>
        <w:spacing w:lineRule="auto" w:line="360" w:before="0" w:after="0"/>
        <w:ind w:left="567" w:hanging="283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proponowana, jakość wykonania zadania i kwalifikacje osób, przy udziale których podmiot realizować będzie zadanie publiczne (0-10 pkt.),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360" w:leader="none"/>
        </w:tabs>
        <w:spacing w:lineRule="auto" w:line="360" w:before="0" w:after="0"/>
        <w:ind w:left="567" w:hanging="283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kalkulacja kosztów realizacji zadania publicznego, w tym w odniesieniu do zakresu rzeczowego zadania (racjonalność i efektywność zaplanowanych kosztów w stosunku do rezultatów i działań, analiza zgodności pomiędzy działaniami a kalkulacją kosztów, prawidłowość sporządzenia kosztorysu) (0-14 pkt.),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360" w:leader="none"/>
        </w:tabs>
        <w:spacing w:lineRule="auto" w:line="360" w:before="0" w:after="0"/>
        <w:ind w:left="567" w:hanging="283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środki finansowe własne lub środki pochodzące z innych źródeł na realizację zadania, </w:t>
      </w:r>
      <w:r>
        <w:rPr>
          <w:rFonts w:cs="Calibri" w:ascii="Arial" w:hAnsi="Arial" w:cstheme="minorHAnsi"/>
          <w:sz w:val="24"/>
          <w:szCs w:val="24"/>
        </w:rPr>
        <w:t xml:space="preserve">wkład rzeczowy, osobowy, w tym świadczenia wolontariuszy i praca społeczna członków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(0 pkt.),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360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analiza i ocena realizacji zleconych zadań publicznych, biorąc pod uwagę rzetelność </w:t>
        <w:br/>
        <w:t>i terminowość oraz sposób rozliczenia otrzymanych na ten cel środków w poprzednich latach (0-2 pkt.).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426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Komisja może weryfikować rezultaty zadania.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426" w:leader="none"/>
        </w:tabs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Maksymalna punktacja wynosi 50 pkt. Do dofinansowania mogą zostać wybrane tylko </w:t>
        <w:br/>
        <w:t xml:space="preserve">te oferty, które uzyskają </w:t>
      </w:r>
      <w:bookmarkStart w:id="8" w:name="_Hlk531682208"/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minimum 25 punktów podczas oceny merytorycznej</w:t>
      </w:r>
      <w:bookmarkEnd w:id="8"/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.</w:t>
      </w:r>
    </w:p>
    <w:p>
      <w:pPr>
        <w:pStyle w:val="Normal"/>
        <w:numPr>
          <w:ilvl w:val="0"/>
          <w:numId w:val="1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Komisja spor</w:t>
      </w:r>
      <w:r>
        <w:rPr>
          <w:rFonts w:eastAsia="TTE19FF810t00" w:cs="Calibri" w:ascii="Arial" w:hAnsi="Arial" w:cstheme="minorHAnsi"/>
          <w:sz w:val="24"/>
          <w:szCs w:val="24"/>
          <w:lang w:eastAsia="pl-PL"/>
        </w:rPr>
        <w:t>zą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dza lis</w:t>
      </w:r>
      <w:r>
        <w:rPr>
          <w:rFonts w:eastAsia="TTE19FF810t00" w:cs="Calibri" w:ascii="Arial" w:hAnsi="Arial" w:cstheme="minorHAnsi"/>
          <w:sz w:val="24"/>
          <w:szCs w:val="24"/>
          <w:lang w:eastAsia="pl-PL"/>
        </w:rPr>
        <w:t xml:space="preserve">tę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ofert rekomendowanych do udzielenia dotacji oraz lis</w:t>
      </w:r>
      <w:r>
        <w:rPr>
          <w:rFonts w:eastAsia="TTE19FF810t00" w:cs="Calibri" w:ascii="Arial" w:hAnsi="Arial" w:cstheme="minorHAnsi"/>
          <w:sz w:val="24"/>
          <w:szCs w:val="24"/>
          <w:lang w:eastAsia="pl-PL"/>
        </w:rPr>
        <w:t xml:space="preserve">tę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ofert nierekomendowanych do udzielenia dotacji.</w:t>
      </w:r>
    </w:p>
    <w:p>
      <w:pPr>
        <w:pStyle w:val="Normal"/>
        <w:numPr>
          <w:ilvl w:val="0"/>
          <w:numId w:val="1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Ostatecznego wyboru ofert, wraz z decyzj</w:t>
      </w:r>
      <w:r>
        <w:rPr>
          <w:rFonts w:eastAsia="TTE19FF810t00" w:cs="Calibri" w:ascii="Arial" w:hAnsi="Arial" w:cstheme="minorHAnsi"/>
          <w:sz w:val="24"/>
          <w:szCs w:val="24"/>
          <w:lang w:eastAsia="pl-PL"/>
        </w:rPr>
        <w:t xml:space="preserve">ą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 wysoko</w:t>
      </w:r>
      <w:r>
        <w:rPr>
          <w:rFonts w:eastAsia="TTE19FF810t00" w:cs="Calibri" w:ascii="Arial" w:hAnsi="Arial" w:cstheme="minorHAnsi"/>
          <w:sz w:val="24"/>
          <w:szCs w:val="24"/>
          <w:lang w:eastAsia="pl-PL"/>
        </w:rPr>
        <w:t>ś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ci kwoty przyznanej dotacji dokonuje Zarz</w:t>
      </w:r>
      <w:r>
        <w:rPr>
          <w:rFonts w:eastAsia="TTE19FF810t00" w:cs="Calibri" w:ascii="Arial" w:hAnsi="Arial" w:cstheme="minorHAnsi"/>
          <w:sz w:val="24"/>
          <w:szCs w:val="24"/>
          <w:lang w:eastAsia="pl-PL"/>
        </w:rPr>
        <w:t>ą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 Województwa Podkarpackiego w drodze uchwały.</w:t>
      </w:r>
    </w:p>
    <w:p>
      <w:pPr>
        <w:pStyle w:val="Normal"/>
        <w:numPr>
          <w:ilvl w:val="0"/>
          <w:numId w:val="1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Od uchwały Zarządu Województwa Podkarpackiego w sprawie wyboru ofert </w:t>
        <w:br/>
        <w:t>i przyznania dotacji nie przysługuje odwołanie.</w:t>
      </w:r>
    </w:p>
    <w:p>
      <w:pPr>
        <w:pStyle w:val="Normal"/>
        <w:numPr>
          <w:ilvl w:val="0"/>
          <w:numId w:val="1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Uchwała Zarządu Województwa Podkarpackiego w sprawie wyboru ofert </w:t>
        <w:br/>
        <w:t xml:space="preserve">i przyznania dotacji stanowi podstawę do zawarcia pisemnej umowy z oferentem.   </w:t>
      </w:r>
    </w:p>
    <w:p>
      <w:pPr>
        <w:pStyle w:val="Normal"/>
        <w:numPr>
          <w:ilvl w:val="0"/>
          <w:numId w:val="1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Rezygnacja przez oferenta z podpisania umowy lub realizacji zadania stanowi</w:t>
      </w:r>
      <w:r>
        <w:rPr>
          <w:rFonts w:eastAsia="Times New Roman" w:cs="Calibri" w:ascii="Arial" w:hAnsi="Arial" w:cstheme="minorHAnsi"/>
          <w:color w:val="FF0000"/>
          <w:sz w:val="24"/>
          <w:szCs w:val="24"/>
          <w:lang w:eastAsia="pl-PL"/>
        </w:rPr>
        <w:t xml:space="preserve"> 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dla Zarządu Województwa Podkarpackiego podstawę do podjęcia uchwały w sprawie przyznania niewykorzystanej kwoty dotacji innym oferentom z grona rekomendowanych.</w:t>
      </w:r>
    </w:p>
    <w:p>
      <w:pPr>
        <w:pStyle w:val="Normal"/>
        <w:numPr>
          <w:ilvl w:val="0"/>
          <w:numId w:val="16"/>
        </w:numPr>
        <w:spacing w:lineRule="auto" w:line="360" w:before="0" w:after="0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Informację o rozstrzygnięciu konkursu zamieszcza się w Biuletynie Informacji Publicznej, na tablicy ogłoszeń oraz na stronie internetowej Urzędu. Nie przewiduje się innej formy powiadomienia o wynikach konkursu.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ascii="Arial" w:hAnsi="Arial"/>
        </w:rPr>
        <w:t>Zobowiązania</w:t>
      </w:r>
      <w:r>
        <w:rPr>
          <w:rFonts w:eastAsia="Times New Roman" w:ascii="Arial" w:hAnsi="Arial"/>
          <w:lang w:eastAsia="pl-PL"/>
        </w:rPr>
        <w:t xml:space="preserve"> podmiotów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spacing w:lineRule="auto" w:line="360" w:before="0" w:after="0"/>
        <w:ind w:left="426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Zobowiązania podmiotu składającego ofertę, zakres, warunki realizacji i rozliczania zadania publicznego zawiera umowa.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spacing w:lineRule="auto" w:line="360" w:before="0" w:after="0"/>
        <w:ind w:left="426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terminie 7 dni od ogłoszenia wyników konkursu w Biuletynie Informacji Publicznej podmiot zobowiązany jest do złożenia następujących dokumentów: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60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aktualizacji oferty, uwzględniającej wysokość przyznanej dotacji, </w:t>
      </w:r>
    </w:p>
    <w:p>
      <w:pPr>
        <w:pStyle w:val="Normal"/>
        <w:numPr>
          <w:ilvl w:val="0"/>
          <w:numId w:val="5"/>
        </w:numPr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wyciągu z właściwego rejestru/ewidencji podmiotu lub inny dokument potwierdzający osobowość prawną podmiotu (w przypadku, gdy aktualny odpis z KRS jest opublikowany, podmiot jest zwolniony z przedkładania dokumentu),</w:t>
      </w:r>
    </w:p>
    <w:p>
      <w:pPr>
        <w:pStyle w:val="Normal"/>
        <w:numPr>
          <w:ilvl w:val="0"/>
          <w:numId w:val="5"/>
        </w:numPr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pełnomocnictwa lub upoważnienia, gdy oferta podpisana jest przez inne osoby niż wskazane w aktualnym odpisie z ewidencji lub rejestru,</w:t>
      </w:r>
    </w:p>
    <w:p>
      <w:pPr>
        <w:pStyle w:val="Normal"/>
        <w:numPr>
          <w:ilvl w:val="0"/>
          <w:numId w:val="5"/>
        </w:numPr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dokumentów potwierdzających prowadzenie odpłatnej działalności w przypadku pobierania świadczeń pieniężnych od odbiorców zadania,</w:t>
      </w:r>
    </w:p>
    <w:p>
      <w:pPr>
        <w:pStyle w:val="Normal"/>
        <w:numPr>
          <w:ilvl w:val="0"/>
          <w:numId w:val="5"/>
        </w:numPr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 xml:space="preserve">wydruk z systemu bankowego lub inny dokument potwierdzający numer rachunku bankowego, </w:t>
      </w:r>
    </w:p>
    <w:p>
      <w:pPr>
        <w:pStyle w:val="Normal"/>
        <w:numPr>
          <w:ilvl w:val="0"/>
          <w:numId w:val="5"/>
        </w:numPr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umów pomiędzy podmiotami, jeżeli złożyły ofertę wspólną,</w:t>
      </w:r>
    </w:p>
    <w:p>
      <w:pPr>
        <w:pStyle w:val="Normal"/>
        <w:numPr>
          <w:ilvl w:val="0"/>
          <w:numId w:val="5"/>
        </w:numPr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umów partnerskich, w przypadku wnoszenia przez partnera wkładu własnego,</w:t>
      </w:r>
    </w:p>
    <w:p>
      <w:pPr>
        <w:pStyle w:val="Normal"/>
        <w:numPr>
          <w:ilvl w:val="0"/>
          <w:numId w:val="5"/>
        </w:numPr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innych dokumentów uzupełniających (np. uchwałę dotycząca nowego składu zarządu podmiotu).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284" w:leader="none"/>
          <w:tab w:val="left" w:pos="72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Podmiot, aktualizując ofertę, nie może wprowadzić nowych pozycji kosztorysowych.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284" w:leader="none"/>
          <w:tab w:val="left" w:pos="72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Nieprzedłożenie wymaganych dokumentów w wyznaczonym terminie może być uznane za rezygnację z przyznanej dotacji.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284" w:leader="none"/>
          <w:tab w:val="left" w:pos="72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Zarząd Województwa Podkarpackiego zastrzega sobie możliwość negocjowania warunków, terminów oraz kosztów realizacji zadania.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20" w:leader="none"/>
        </w:tabs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Zarząd Województwa Podkarpackiego może odmówić podpisania umowy z podmiotem wyłonionym w konkursie w przypadku, gdy: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oświadczenia w ofercie są niezgodne ze stanem faktycznym lub prawnym,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zakres merytoryczny lub finansowy zadania przedłożony w aktualizacji znacząco różni się od przedstawionego w ofercie,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zostaną ujawnione nieznane wcześniej okoliczności, podważające wiarygodność prawną, merytoryczną lub finansową podmiotu.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>Warunki realizacji zadania publicznego</w:t>
      </w:r>
    </w:p>
    <w:p>
      <w:pPr>
        <w:pStyle w:val="ListParagraph"/>
        <w:numPr>
          <w:ilvl w:val="1"/>
          <w:numId w:val="7"/>
        </w:numPr>
        <w:spacing w:lineRule="auto" w:line="360" w:before="0" w:after="0"/>
        <w:ind w:left="284" w:hanging="284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Podmiot realizujący zadanie zobowiązany jest do: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360" w:before="0" w:after="0"/>
        <w:ind w:left="567" w:hanging="283"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  <w:shd w:fill="FFFFFF" w:val="clear"/>
        </w:rPr>
        <w:t>stosowania przepisów prawnych i wytycznych oraz zaleceń, w tym wytycznych sanitarnych obowiązujących w związku z ogłoszonym stanem epidemii, wywołanej wirusem SARS-CoV -2,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360" w:before="0" w:after="0"/>
        <w:ind w:left="567" w:hanging="283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dostarczenia pięciu zaproszeń dla przedstawicieli Zarządu Województwa Podkarpackiego na 14 dni przed realizacją głównego wydarzenia kulturalnego,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567" w:leader="none"/>
          <w:tab w:val="left" w:pos="2487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umieszczenia logo Województwa Podkarpackiego na zakupionych przedmiotach oraz na wszystkich materiałach promocyjnych, informacyjnych, szkoleniowych</w:t>
      </w:r>
      <w:r>
        <w:rPr>
          <w:rFonts w:eastAsia="Times New Roman" w:cs="Calibri" w:ascii="Arial" w:hAnsi="Arial" w:cstheme="minorHAnsi"/>
          <w:color w:val="ED7D31" w:themeColor="accent2"/>
          <w:sz w:val="24"/>
          <w:szCs w:val="24"/>
          <w:lang w:eastAsia="pl-PL"/>
        </w:rPr>
        <w:t>,</w:t>
      </w: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dotyczących zadania,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567" w:leader="none"/>
          <w:tab w:val="left" w:pos="2487" w:leader="none"/>
        </w:tabs>
        <w:spacing w:lineRule="auto" w:line="360" w:before="0" w:after="0"/>
        <w:ind w:left="567" w:hanging="283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umieszczenia zapisu „Dofinansowano z budżetu Województwa Podkarpackiego” w sposób zapewniający jego dobrą widoczność na ww. przedmiotach i materiałach. Znak promocyjny dostępny jest na stronie internetowej Urzędu. </w:t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2487" w:leader="none"/>
        </w:tabs>
        <w:spacing w:lineRule="auto" w:line="360" w:before="0" w:after="0"/>
        <w:ind w:left="426" w:hanging="426"/>
        <w:contextualSpacing/>
        <w:rPr/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Podmiot, który wykonuje zadanie, ma możliwość wypożyczenia materiałów promocyjnych, udostępnianych przez Departament Promocji, Turystyki i Współpracy Gospodarczej Urzędu Marszałkowskiego w Rzeszowie, po wcześniejszym zgłoszeniu pod nr tel. 17 747 66 00 lub e-mail: </w:t>
      </w:r>
      <w:hyperlink r:id="rId3">
        <w:r>
          <w:rPr>
            <w:rStyle w:val="Czeinternetowe"/>
            <w:rFonts w:eastAsia="Times New Roman" w:cs="Calibri" w:ascii="Arial" w:hAnsi="Arial" w:cstheme="minorHAnsi"/>
            <w:sz w:val="24"/>
            <w:szCs w:val="24"/>
            <w:u w:val="single"/>
            <w:lang w:eastAsia="pl-PL"/>
          </w:rPr>
          <w:t>marka@podkarpackie.pl</w:t>
        </w:r>
      </w:hyperlink>
    </w:p>
    <w:p>
      <w:pPr>
        <w:pStyle w:val="ListParagraph"/>
        <w:numPr>
          <w:ilvl w:val="0"/>
          <w:numId w:val="29"/>
        </w:numPr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W trakcie realizacji zadania mogą być dokonywane zmiany w zakresie sposobu i terminu jego realizacji. </w:t>
      </w:r>
    </w:p>
    <w:p>
      <w:pPr>
        <w:pStyle w:val="ListParagraph"/>
        <w:numPr>
          <w:ilvl w:val="0"/>
          <w:numId w:val="29"/>
        </w:numPr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Zmiany do umowy wymagają zgłaszania na bieżąco w formie pisemnej, ze stosownym wyprzedzeniem, uwzględniającym poszczególne etapy realizacji zadania. Zmiany mogą być wprowadzone do realizacji tylko po uzyskaniu pisemnej akceptacji ze strony Województwa. 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2127" w:leader="none"/>
        </w:tabs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trakcie realizacji zadania mogą być dokonywane przesunięcia:</w:t>
      </w:r>
    </w:p>
    <w:p>
      <w:pPr>
        <w:pStyle w:val="ListParagraph"/>
        <w:numPr>
          <w:ilvl w:val="0"/>
          <w:numId w:val="30"/>
        </w:numPr>
        <w:spacing w:lineRule="auto" w:line="360" w:beforeAutospacing="1" w:after="0"/>
        <w:ind w:left="851" w:hanging="425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do wysokości 20% w zakresie poszczególnych pozycji kosztów działania oraz pomiędzy działaniami w kosztorysie zadania, </w:t>
      </w:r>
    </w:p>
    <w:p>
      <w:pPr>
        <w:pStyle w:val="ListParagraph"/>
        <w:numPr>
          <w:ilvl w:val="0"/>
          <w:numId w:val="30"/>
        </w:numPr>
        <w:spacing w:lineRule="auto" w:line="360" w:before="0" w:after="0"/>
        <w:ind w:left="851" w:hanging="425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powyżej 20% - wymagają wcześniejszej pisemnej zgody ze strony Województwa. Podmiot zobowiązany jest przedstawić zaktualizowaną ofertę po uzyskaniu zgody na wprowadzenie zmian. Zmiany te wymagają aneksu do umowy. </w:t>
      </w:r>
    </w:p>
    <w:p>
      <w:pPr>
        <w:pStyle w:val="ListParagraph"/>
        <w:numPr>
          <w:ilvl w:val="0"/>
          <w:numId w:val="29"/>
        </w:numPr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cs="Calibri" w:ascii="Arial" w:hAnsi="Arial" w:cstheme="minorHAnsi"/>
          <w:sz w:val="24"/>
          <w:szCs w:val="24"/>
        </w:rPr>
        <w:t>Podmioty powinny dokonywać płatności w formie bezgotówkowej. Płatności gotówkowe dopuszcza się tylko w sytuacji, gdy nie jest możliwy obrót bezgotówkowy.</w:t>
      </w:r>
    </w:p>
    <w:p>
      <w:pPr>
        <w:pStyle w:val="ListParagraph"/>
        <w:numPr>
          <w:ilvl w:val="0"/>
          <w:numId w:val="29"/>
        </w:numPr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Aneks do umowy może zostać zawarty wyłącznie w trakcie realizacji zadania. Nie dopuszcza się zawarcia aneksu na etapie przygotowywania sprawozdania, tj. po faktycznym zakończeniu realizacji zadania.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Warunki </w:t>
      </w:r>
      <w:r>
        <w:rPr>
          <w:rFonts w:ascii="Arial" w:hAnsi="Arial"/>
        </w:rPr>
        <w:t>rozliczenia</w:t>
      </w:r>
      <w:r>
        <w:rPr>
          <w:rFonts w:eastAsia="Times New Roman" w:ascii="Arial" w:hAnsi="Arial"/>
          <w:lang w:eastAsia="pl-PL"/>
        </w:rPr>
        <w:t xml:space="preserve"> zadania publicznego</w:t>
      </w:r>
    </w:p>
    <w:p>
      <w:pPr>
        <w:pStyle w:val="Normal"/>
        <w:numPr>
          <w:ilvl w:val="0"/>
          <w:numId w:val="26"/>
        </w:numPr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Podmiot zobowiązany jest do złożenia sprawozdania z wykonania zadania publicznego objętego ofertą w terminie wskazanym w umowie zawartej z Województwem. </w:t>
      </w:r>
    </w:p>
    <w:p>
      <w:pPr>
        <w:pStyle w:val="Normal"/>
        <w:numPr>
          <w:ilvl w:val="0"/>
          <w:numId w:val="26"/>
        </w:numPr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/>
          <w:sz w:val="24"/>
          <w:szCs w:val="24"/>
          <w:lang w:eastAsia="pl-PL"/>
        </w:rPr>
        <w:t>Do sprawozdania nie dołącza się załączników.</w:t>
      </w:r>
    </w:p>
    <w:p>
      <w:pPr>
        <w:pStyle w:val="Normal"/>
        <w:numPr>
          <w:ilvl w:val="0"/>
          <w:numId w:val="26"/>
        </w:numPr>
        <w:tabs>
          <w:tab w:val="clear" w:pos="708"/>
          <w:tab w:val="left" w:pos="426" w:leader="none"/>
        </w:tabs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b/>
          <w:bCs/>
          <w:sz w:val="24"/>
          <w:szCs w:val="24"/>
          <w:lang w:eastAsia="pl-PL"/>
        </w:rPr>
        <w:t xml:space="preserve">Akceptacja sprawozdania i rozliczenie dotacji polega na weryfikacji działań i rezultatów. </w:t>
      </w:r>
      <w:r>
        <w:rPr>
          <w:rFonts w:eastAsia="Times New Roman" w:cs="Calibri" w:ascii="Arial" w:hAnsi="Arial" w:cstheme="minorHAnsi"/>
          <w:b/>
          <w:bCs/>
          <w:color w:val="000000"/>
          <w:sz w:val="24"/>
          <w:szCs w:val="24"/>
          <w:lang w:eastAsia="pl-PL"/>
        </w:rPr>
        <w:t>Oznacza to, że podmiot powinien osiągnąć rezultaty założone w ofercie, jak również zrealizować działania planowane przy wykonywaniu zadania.</w:t>
      </w:r>
      <w:r>
        <w:rPr>
          <w:rFonts w:eastAsia="Times New Roman" w:cs="Calibri" w:ascii="Arial" w:hAnsi="Arial" w:cstheme="minorHAnsi"/>
          <w:b/>
          <w:bCs/>
          <w:sz w:val="24"/>
          <w:szCs w:val="24"/>
          <w:lang w:eastAsia="pl-PL"/>
        </w:rPr>
        <w:t xml:space="preserve"> </w:t>
      </w:r>
    </w:p>
    <w:p>
      <w:pPr>
        <w:pStyle w:val="Normal"/>
        <w:numPr>
          <w:ilvl w:val="0"/>
          <w:numId w:val="26"/>
        </w:numPr>
        <w:tabs>
          <w:tab w:val="clear" w:pos="708"/>
          <w:tab w:val="left" w:pos="426" w:leader="none"/>
        </w:tabs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Zadanie publiczne uznaje się za zrealizowane, jeśli wszystkie działania zostały wykonane, a rezultaty zostały osiągnięte na poziomie nie niższym niż 80%, w stosunku do wielkości zaplanowanych. </w:t>
      </w:r>
    </w:p>
    <w:p>
      <w:pPr>
        <w:pStyle w:val="Normal"/>
        <w:numPr>
          <w:ilvl w:val="0"/>
          <w:numId w:val="26"/>
        </w:numPr>
        <w:tabs>
          <w:tab w:val="clear" w:pos="708"/>
          <w:tab w:val="left" w:pos="426" w:leader="none"/>
        </w:tabs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przypadku, gdy zadanie nie zostało zrealizowane lub zrealizowane częściowo, zostanie określona kwota dotacji podlegająca zwrotowi, zgodnie z zasadą proporcjonalności.</w:t>
      </w:r>
    </w:p>
    <w:p>
      <w:pPr>
        <w:pStyle w:val="Normal"/>
        <w:numPr>
          <w:ilvl w:val="0"/>
          <w:numId w:val="26"/>
        </w:numPr>
        <w:tabs>
          <w:tab w:val="clear" w:pos="708"/>
          <w:tab w:val="left" w:pos="426" w:leader="none"/>
        </w:tabs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 prawidłowym rozliczeniu dotacji podmiot zostanie poinformowany w formie pisemnej.</w:t>
      </w:r>
    </w:p>
    <w:p>
      <w:pPr>
        <w:pStyle w:val="Normal"/>
        <w:numPr>
          <w:ilvl w:val="0"/>
          <w:numId w:val="26"/>
        </w:numPr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Podmiot jest zobowiązany do dostarczenia – w przypadku wezwania przez Urząd Marszałkowski - dodatkowych informacji, dowodów do sprawozdania, np. kserokopii dokumentów finansowych związanych z realizacją zadania, w celu uzyskania akceptacji sprawozdania.</w:t>
      </w:r>
    </w:p>
    <w:p>
      <w:pPr>
        <w:pStyle w:val="Normal"/>
        <w:numPr>
          <w:ilvl w:val="0"/>
          <w:numId w:val="26"/>
        </w:numPr>
        <w:tabs>
          <w:tab w:val="clear" w:pos="708"/>
          <w:tab w:val="left" w:pos="0" w:leader="none"/>
          <w:tab w:val="left" w:pos="426" w:leader="none"/>
        </w:tabs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Województwo ma prawo dokonać kontroli i oceny realizacji zadania. Kontrola obejmuje dokumentację potwierdzającą osiągnięte rezultaty, wykonane działania</w:t>
      </w:r>
      <w:r>
        <w:rPr>
          <w:rFonts w:eastAsia="Times New Roman" w:cs="Calibri" w:ascii="Arial" w:hAnsi="Arial" w:cstheme="minorHAnsi"/>
          <w:bCs/>
          <w:sz w:val="24"/>
          <w:szCs w:val="24"/>
          <w:lang w:eastAsia="pl-PL"/>
        </w:rPr>
        <w:t>, prawidłowość wykorzystania środków przeznaczonych na realizację zadania, prowadzenie dokumentacji związanej z zadaniem itp.</w:t>
      </w:r>
    </w:p>
    <w:p>
      <w:pPr>
        <w:pStyle w:val="Normal"/>
        <w:numPr>
          <w:ilvl w:val="0"/>
          <w:numId w:val="26"/>
        </w:numPr>
        <w:tabs>
          <w:tab w:val="clear" w:pos="708"/>
          <w:tab w:val="left" w:pos="360" w:leader="none"/>
          <w:tab w:val="left" w:pos="426" w:leader="none"/>
          <w:tab w:val="left" w:pos="540" w:leader="none"/>
        </w:tabs>
        <w:spacing w:lineRule="auto" w:line="360" w:before="0" w:after="0"/>
        <w:ind w:left="426" w:hanging="426"/>
        <w:contextualSpacing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Kontrola może być prowadzona w trakcie, jak i po zakończeniu realizacji zadania.</w:t>
      </w:r>
    </w:p>
    <w:p>
      <w:pPr>
        <w:pStyle w:val="Nagwek1"/>
        <w:spacing w:lineRule="auto" w:line="360"/>
        <w:rPr>
          <w:rFonts w:ascii="Arial" w:hAnsi="Arial"/>
        </w:rPr>
      </w:pPr>
      <w:r>
        <w:rPr>
          <w:rFonts w:eastAsia="Times New Roman" w:ascii="Arial" w:hAnsi="Arial"/>
          <w:lang w:eastAsia="pl-PL"/>
        </w:rPr>
        <w:t xml:space="preserve">Dodatkowe </w:t>
      </w:r>
      <w:r>
        <w:rPr>
          <w:rFonts w:ascii="Arial" w:hAnsi="Arial"/>
        </w:rPr>
        <w:t>informacje</w:t>
      </w:r>
      <w:r>
        <w:rPr>
          <w:rFonts w:eastAsia="Times New Roman" w:ascii="Arial" w:hAnsi="Arial"/>
          <w:lang w:eastAsia="pl-PL"/>
        </w:rPr>
        <w:t xml:space="preserve"> </w:t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Zgodnie z art.13 oraz art. 14 rozporządzenia Parlamentu Europejskiego i Rady (UE) 2016/679 z dnia 27 kwietnia 2016 r. w sprawie ochrony danych osób fizycznych w związku z przetwarzaniem danych osobowych i w sprawie swobodnego przepływu takich danych oraz uchylenia dyrektywy 95/46/WE (ogólne rozporządzenie o ochronie danych) informuje się, że: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Administratorem danych osobowych przetwarzanych w ramach otwartego konkursu ofert na realizację zadań publicznych Województwa Podkarpackiego w zakresie kultury jest Województwo Podkarpackie, al. Łukasza Cieplińskiego 4, 35-010 Rzeszów.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284" w:hanging="284"/>
        <w:rPr/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Kontakt z Inspektorem Ochrony Danych możliwy jest: elektronicznie pod adresem: </w:t>
      </w:r>
      <w:hyperlink r:id="rId4">
        <w:r>
          <w:rPr>
            <w:rFonts w:eastAsia="Times New Roman" w:cs="Calibri" w:ascii="Arial" w:hAnsi="Arial" w:cstheme="minorHAnsi"/>
            <w:color w:val="0000FF"/>
            <w:sz w:val="24"/>
            <w:szCs w:val="24"/>
            <w:u w:val="single"/>
            <w:lang w:eastAsia="pl-PL"/>
          </w:rPr>
          <w:t>iod@podkarpackie.pl</w:t>
        </w:r>
      </w:hyperlink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 telefonicznie pod numerem: 17  747 67 09, listownie na adres Urzędu Marszałkowskiego Województwa Podkarpackiego w Rzeszowie al. Łukasza Cieplińskiego 4, 35-010 Rzeszów, kontakt osobisty w siedzibie Urzędu przy al. Łukasza Cieplińskiego 4 w Rzeszowie.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Dane osobowe przetwarzane będę w celu  wypełnienia obowiązku prawnego wynikającego z ustawy z dnia 24 kwietnia 2003 r. o działalności pożytku publicznego i o wolontariacie, którym jest przeprowadzenie otwartego konkursu ofert na realizację zadań publicznych Województwa Podkarpackiego, tj. m.in. oceny formalnej i merytorycznej złożonych ofert, podpisania umowy z wybranymi w konkursie podmiotami, realizacji umowy i jej rozliczenia, kontroli realizacji zadania.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Dane osobowe przechowywane będą przez okres wynikający z rozporządzenia Prezesa Rady Ministrów z dnia 18 stycznia 2011 r. w sprawie instrukcji kancelaryjnej, jednolitych rzeczowych wykazów akt oraz instrukcji w sprawie organizacji i zakresu działania archiwów zakładowych obowiązującego u administratora. 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Osoby, których dane dotyczą, mają prawo do żądania od administratora dostępu do danych osobowych, ich sprostowania, ograniczenia przetwarzania, do wniesienia sprzeciwu wobec ich przetwarzania.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284" w:hanging="284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Podmiot, którego dotyczą przetwarzane dane osobowe przez administratora, ma prawo wniesienia skargi do Prezesa Urzędu Ochrony Danych Osobowych (adres: ul. Stawki 2, 00-193 Warszawa).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sz w:val="24"/>
          <w:szCs w:val="24"/>
          <w:lang w:eastAsia="pl-PL"/>
        </w:rPr>
      </w:pPr>
      <w:r>
        <w:rPr>
          <w:rFonts w:eastAsia="Times New Roman" w:cs="Calibri" w:cstheme="minorHAnsi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/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 xml:space="preserve">Informacje o konkursie można uzyskać w Oddziale mecenatu kulturalnego i ochrony zabytków Departamentu Kultury i Ochrony Dziedzictwa Narodowego Urzędu Marszałkowskiego Województwa Podkarpackiego, Rzeszów ul. Lubelska 4, tel. 17 743 30 04, 17 743 30 14 lub e-mail: </w:t>
      </w:r>
      <w:hyperlink r:id="rId5">
        <w:r>
          <w:rPr>
            <w:rStyle w:val="Czeinternetowe"/>
            <w:rFonts w:eastAsia="Times New Roman" w:cs="Calibri" w:ascii="Arial" w:hAnsi="Arial" w:cstheme="minorHAnsi"/>
            <w:sz w:val="24"/>
            <w:szCs w:val="24"/>
            <w:u w:val="single"/>
            <w:lang w:eastAsia="pl-PL"/>
          </w:rPr>
          <w:t>mecenat@podkarpackie.pl</w:t>
        </w:r>
      </w:hyperlink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sz w:val="24"/>
          <w:szCs w:val="24"/>
          <w:lang w:eastAsia="pl-PL"/>
        </w:rPr>
      </w:pPr>
      <w:r>
        <w:rPr>
          <w:rFonts w:eastAsia="Times New Roman" w:cs="Calibri" w:cstheme="minorHAnsi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W ramach otwartych konkursów ofert w zakresie kultury realizowanych:</w:t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- w 2019 r. do Urzędu Marszałkowskiego Województwa Podkarpackiego w Rzeszowie wpłynęły 164 oferty. Zarząd Województwa Podkarpackiego wyłonił 58 zadań i udzielił dotacji na ich realizację w kwocie 658 000 zł ogółem.</w:t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- w 2020 r. do Urzędu Marszałkowskiego Województwa Podkarpackiego w Rzeszowie wpłynęło 276 ofert. Zarząd Województwa Podkarpackiego wyłonił 39 zadań i udzielił dotacji na ich realizację w kwocie 581 872 zł ogółem.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color w:val="FF0000"/>
          <w:sz w:val="24"/>
          <w:szCs w:val="24"/>
          <w:lang w:eastAsia="pl-PL"/>
        </w:rPr>
      </w:pPr>
      <w:r>
        <w:rPr>
          <w:rFonts w:eastAsia="Times New Roman" w:cs="Calibri" w:cstheme="minorHAnsi" w:ascii="Arial" w:hAnsi="Arial"/>
          <w:color w:val="FF0000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Arial" w:hAnsi="Arial"/>
        </w:rPr>
      </w:pPr>
      <w:r>
        <w:rPr>
          <w:rFonts w:eastAsia="Times New Roman" w:cs="Calibri" w:ascii="Arial" w:hAnsi="Arial" w:cstheme="minorHAnsi"/>
          <w:sz w:val="24"/>
          <w:szCs w:val="24"/>
          <w:lang w:eastAsia="pl-PL"/>
        </w:rPr>
        <w:t>Szczegółowy wykaz dofinansowanych zadań znajduje się w na stronie internetowej Urzędu.</w:t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sz w:val="24"/>
          <w:szCs w:val="24"/>
          <w:lang w:eastAsia="pl-PL"/>
        </w:rPr>
      </w:pPr>
      <w:r>
        <w:rPr>
          <w:rFonts w:eastAsia="Times New Roman" w:cs="Calibri" w:cstheme="minorHAnsi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sz w:val="24"/>
          <w:szCs w:val="24"/>
          <w:lang w:eastAsia="pl-PL"/>
        </w:rPr>
      </w:pPr>
      <w:r>
        <w:rPr>
          <w:rFonts w:eastAsia="Times New Roman" w:cs="Calibri" w:cstheme="minorHAnsi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Arial" w:hAnsi="Arial" w:eastAsia="Times New Roman" w:cs="Calibri" w:cstheme="minorHAnsi"/>
          <w:sz w:val="24"/>
          <w:szCs w:val="24"/>
          <w:lang w:eastAsia="pl-PL"/>
        </w:rPr>
      </w:pPr>
      <w:r>
        <w:rPr>
          <w:rFonts w:eastAsia="Times New Roman" w:cs="Calibri" w:cstheme="minorHAnsi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360" w:before="0" w:after="160"/>
        <w:rPr>
          <w:rFonts w:ascii="Arial" w:hAnsi="Arial"/>
        </w:rPr>
      </w:pPr>
      <w:r>
        <w:rPr>
          <w:rFonts w:ascii="Arial" w:hAnsi="Arial"/>
        </w:rPr>
      </w:r>
    </w:p>
    <w:sectPr>
      <w:footerReference w:type="default" r:id="rId6"/>
      <w:type w:val="nextPage"/>
      <w:pgSz w:w="11906" w:h="16838"/>
      <w:pgMar w:left="1418" w:right="1418" w:header="0" w:top="1134" w:footer="709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01"/>
    <w:family w:val="swiss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2875" cy="170180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200" cy="169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opka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path="m0,0l-2147483645,0l-2147483645,-2147483646l0,-2147483646xe" fillcolor="white" stroked="f" style="position:absolute;margin-left:442.25pt;margin-top:0.05pt;width:11.15pt;height:13.3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opka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397"/>
        </w:tabs>
        <w:ind w:left="510" w:hanging="113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5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>
      <w:start w:val="1"/>
      <w:numFmt w:val="decimal"/>
      <w:lvlText w:val="%2)"/>
      <w:lvlJc w:val="left"/>
      <w:pPr>
        <w:tabs>
          <w:tab w:val="num" w:pos="426"/>
        </w:tabs>
        <w:ind w:left="539" w:hanging="113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0"/>
      <w:numFmt w:val="upperRoman"/>
      <w:lvlText w:val="%5."/>
      <w:lvlJc w:val="left"/>
      <w:pPr>
        <w:tabs>
          <w:tab w:val="num" w:pos="0"/>
        </w:tabs>
        <w:ind w:left="3960" w:hanging="72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false"/>
        <w:bCs w:val="false"/>
      </w:rPr>
    </w:lvl>
    <w:lvl w:ilvl="1">
      <w:start w:val="2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rFonts w:ascii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02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518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2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3">
    <w:lvl w:ilvl="0">
      <w:start w:val="1"/>
      <w:numFmt w:val="decimal"/>
      <w:lvlText w:val="%1)"/>
      <w:lvlJc w:val="left"/>
      <w:pPr>
        <w:tabs>
          <w:tab w:val="num" w:pos="0"/>
        </w:tabs>
        <w:ind w:left="291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lvl w:ilvl="0">
      <w:start w:val="3"/>
      <w:numFmt w:val="decimal"/>
      <w:lvlText w:val="%1."/>
      <w:lvlJc w:val="left"/>
      <w:pPr>
        <w:tabs>
          <w:tab w:val="num" w:pos="0"/>
        </w:tabs>
        <w:ind w:left="234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e4e6c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8b3ec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8b3ec4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link w:val="Stopka"/>
    <w:uiPriority w:val="99"/>
    <w:semiHidden/>
    <w:qFormat/>
    <w:rsid w:val="001a3d22"/>
    <w:rPr/>
  </w:style>
  <w:style w:type="character" w:styleId="Pagenumber">
    <w:name w:val="page number"/>
    <w:basedOn w:val="DefaultParagraphFont"/>
    <w:qFormat/>
    <w:rsid w:val="001a3d22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51d11"/>
    <w:rPr>
      <w:rFonts w:ascii="Segoe UI" w:hAnsi="Segoe UI" w:cs="Segoe UI"/>
      <w:sz w:val="18"/>
      <w:szCs w:val="18"/>
    </w:rPr>
  </w:style>
  <w:style w:type="character" w:styleId="Nagwek1Znak" w:customStyle="1">
    <w:name w:val="Nagłówek 1 Znak"/>
    <w:basedOn w:val="DefaultParagraphFont"/>
    <w:link w:val="Nagwek1"/>
    <w:uiPriority w:val="9"/>
    <w:qFormat/>
    <w:rsid w:val="008b3ec4"/>
    <w:rPr>
      <w:rFonts w:ascii="Calibri Light" w:hAnsi="Calibri Light" w:eastAsia="" w:cs="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8b3ec4"/>
    <w:rPr>
      <w:rFonts w:ascii="Calibri Light" w:hAnsi="Calibri Light" w:eastAsia="" w:cs=""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styleId="Czeinternetowe">
    <w:name w:val="Łącze internetowe"/>
    <w:basedOn w:val="DefaultParagraphFont"/>
    <w:uiPriority w:val="99"/>
    <w:unhideWhenUsed/>
    <w:rsid w:val="00e82135"/>
    <w:rPr>
      <w:color w:val="0563C1" w:themeColor="hyperlink"/>
      <w:u w:val="single"/>
    </w:rPr>
  </w:style>
  <w:style w:type="character" w:styleId="MapadokumentuZnak" w:customStyle="1">
    <w:name w:val="Mapa dokumentu Znak"/>
    <w:basedOn w:val="DefaultParagraphFont"/>
    <w:link w:val="Mapadokumentu"/>
    <w:uiPriority w:val="99"/>
    <w:semiHidden/>
    <w:qFormat/>
    <w:rsid w:val="00144a43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uiPriority w:val="99"/>
    <w:semiHidden/>
    <w:unhideWhenUsed/>
    <w:rsid w:val="001a3d2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4948f0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51d1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OCHeading">
    <w:name w:val="TOC Heading"/>
    <w:basedOn w:val="Nagwek1"/>
    <w:next w:val="Normal"/>
    <w:uiPriority w:val="39"/>
    <w:semiHidden/>
    <w:unhideWhenUsed/>
    <w:qFormat/>
    <w:rsid w:val="00e82135"/>
    <w:pPr>
      <w:spacing w:lineRule="auto" w:line="276"/>
    </w:pPr>
    <w:rPr/>
  </w:style>
  <w:style w:type="paragraph" w:styleId="Spistreci1">
    <w:name w:val="TOC 1"/>
    <w:basedOn w:val="Normal"/>
    <w:next w:val="Normal"/>
    <w:autoRedefine/>
    <w:uiPriority w:val="39"/>
    <w:unhideWhenUsed/>
    <w:rsid w:val="00e82135"/>
    <w:pPr>
      <w:spacing w:before="0" w:after="100"/>
    </w:pPr>
    <w:rPr/>
  </w:style>
  <w:style w:type="paragraph" w:styleId="Spistreci2">
    <w:name w:val="TOC 2"/>
    <w:basedOn w:val="Normal"/>
    <w:next w:val="Normal"/>
    <w:autoRedefine/>
    <w:uiPriority w:val="39"/>
    <w:unhideWhenUsed/>
    <w:rsid w:val="00e82135"/>
    <w:pPr>
      <w:spacing w:before="0" w:after="100"/>
      <w:ind w:left="220" w:hanging="0"/>
    </w:pPr>
    <w:rPr/>
  </w:style>
  <w:style w:type="paragraph" w:styleId="DocumentMap">
    <w:name w:val="Document Map"/>
    <w:basedOn w:val="Normal"/>
    <w:link w:val="MapadokumentuZnak"/>
    <w:uiPriority w:val="99"/>
    <w:semiHidden/>
    <w:unhideWhenUsed/>
    <w:qFormat/>
    <w:rsid w:val="00144a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a3d2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kultura.wrotapodkarpackie.pl/" TargetMode="External"/><Relationship Id="rId3" Type="http://schemas.openxmlformats.org/officeDocument/2006/relationships/hyperlink" Target="mailto:marka@podkarpackie.pl" TargetMode="External"/><Relationship Id="rId4" Type="http://schemas.openxmlformats.org/officeDocument/2006/relationships/hyperlink" Target="mailto:iod@podkarpackie.pl" TargetMode="External"/><Relationship Id="rId5" Type="http://schemas.openxmlformats.org/officeDocument/2006/relationships/hyperlink" Target="mailto:mecenat@podkarpackie.pl" TargetMode="Externa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76406-325B-4F56-AA28-A4DEF281F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Application>LibreOffice/7.1.2.2$Windows_X86_64 LibreOffice_project/8a45595d069ef5570103caea1b71cc9d82b2aae4</Application>
  <AppVersion>15.0000</AppVersion>
  <Pages>15</Pages>
  <Words>3547</Words>
  <Characters>24214</Characters>
  <CharactersWithSpaces>27436</CharactersWithSpaces>
  <Paragraphs>226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2021-03-24T08:03:00Z</dcterms:created>
  <dc:creator>Mazur Magdalena</dc:creator>
  <dc:description/>
  <dc:language>pl-PL</dc:language>
  <cp:lastModifiedBy/>
  <cp:lastPrinted>2021-03-30T09:48:00Z</cp:lastPrinted>
  <dcterms:modified xsi:type="dcterms:W3CDTF">2021-04-12T12:18:46Z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