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FD03B" w14:textId="20E6369D" w:rsidR="00361F79" w:rsidRPr="00361F79" w:rsidRDefault="00361F79" w:rsidP="00361F79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 w:rsidRPr="00361F7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429/ </w:t>
      </w:r>
      <w:r w:rsidR="009B3883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8677</w:t>
      </w:r>
      <w:r w:rsidRPr="00361F7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1D443A28" w14:textId="77777777" w:rsidR="00361F79" w:rsidRPr="00361F79" w:rsidRDefault="00361F79" w:rsidP="00361F79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361F7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5D77D863" w14:textId="77777777" w:rsidR="00361F79" w:rsidRPr="00361F79" w:rsidRDefault="00361F79" w:rsidP="00361F79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361F79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2CBADB6" w14:textId="16E16EB5" w:rsidR="00361F79" w:rsidRPr="00361F79" w:rsidRDefault="00361F79" w:rsidP="00361F79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361F79">
        <w:rPr>
          <w:rFonts w:ascii="Arial" w:eastAsia="Times New Roman" w:hAnsi="Arial" w:cs="Times New Roman"/>
          <w:sz w:val="24"/>
          <w:szCs w:val="24"/>
          <w:lang w:eastAsia="pl-PL"/>
        </w:rPr>
        <w:t>z dnia 11 października  2022r.</w:t>
      </w:r>
      <w:bookmarkEnd w:id="0"/>
    </w:p>
    <w:p w14:paraId="098FB347" w14:textId="44B33865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Strategii Rozwoju Gminy </w:t>
      </w:r>
      <w:r w:rsidR="00B202B0">
        <w:rPr>
          <w:rFonts w:ascii="Arial" w:eastAsia="Times New Roman" w:hAnsi="Arial" w:cs="Arial"/>
          <w:b/>
          <w:i/>
          <w:sz w:val="24"/>
          <w:szCs w:val="24"/>
          <w:lang w:eastAsia="ar-SA"/>
        </w:rPr>
        <w:t>Wiązownica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na lata 2022-2030</w:t>
      </w:r>
      <w:r w:rsidR="00361F79">
        <w:rPr>
          <w:rFonts w:ascii="Arial" w:eastAsia="Times New Roman" w:hAnsi="Arial" w:cs="Arial"/>
          <w:b/>
          <w:i/>
          <w:sz w:val="24"/>
          <w:szCs w:val="24"/>
          <w:lang w:eastAsia="ar-SA"/>
        </w:rPr>
        <w:t>.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</w:p>
    <w:bookmarkEnd w:id="1"/>
    <w:p w14:paraId="68DD6768" w14:textId="25FAC863" w:rsidR="00524C73" w:rsidRDefault="0091528F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="009B388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>
        <w:rPr>
          <w:rFonts w:ascii="Arial" w:eastAsia="Times New Roman" w:hAnsi="Arial" w:cs="Arial"/>
          <w:sz w:val="24"/>
          <w:szCs w:val="24"/>
          <w:lang w:eastAsia="ar-SA"/>
        </w:rPr>
        <w:t>Dz. U. z 2022 r. poz. 547</w:t>
      </w:r>
      <w:r w:rsidR="009B3883">
        <w:rPr>
          <w:rFonts w:ascii="Arial" w:eastAsia="Times New Roman" w:hAnsi="Arial" w:cs="Arial"/>
          <w:sz w:val="24"/>
          <w:szCs w:val="24"/>
          <w:lang w:eastAsia="ar-SA"/>
        </w:rPr>
        <w:t xml:space="preserve"> ze zm.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 w związku z art. 10f ust. 2 i 3 ustawy </w:t>
      </w:r>
      <w:r w:rsidR="00625F30">
        <w:rPr>
          <w:rFonts w:ascii="Arial" w:eastAsia="Times New Roman" w:hAnsi="Arial" w:cs="Arial"/>
          <w:sz w:val="24"/>
          <w:szCs w:val="24"/>
          <w:lang w:eastAsia="ar-SA"/>
        </w:rPr>
        <w:t xml:space="preserve">                     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 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2022 r. poz. 559 ze zm.)</w:t>
      </w:r>
      <w:r w:rsidR="00361F79">
        <w:rPr>
          <w:rFonts w:ascii="Arial" w:eastAsia="Times New Roman" w:hAnsi="Arial" w:cs="Arial"/>
          <w:sz w:val="24"/>
          <w:szCs w:val="24"/>
          <w:lang w:eastAsia="ar-SA"/>
        </w:rPr>
        <w:t>,</w:t>
      </w:r>
    </w:p>
    <w:p w14:paraId="10D4FEF7" w14:textId="77777777" w:rsidR="00524C73" w:rsidRDefault="0091528F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5645F8B6" w14:textId="77777777" w:rsidR="00524C73" w:rsidRDefault="0091528F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556333A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59C2AB0C" w14:textId="62717C25" w:rsidR="00524C73" w:rsidRDefault="0091528F">
      <w:pPr>
        <w:spacing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bookmarkStart w:id="3" w:name="_Hlk116281904"/>
      <w:r w:rsidR="00B202B0">
        <w:rPr>
          <w:rFonts w:ascii="Arial" w:eastAsia="Times New Roman" w:hAnsi="Arial" w:cs="Arial"/>
          <w:i/>
          <w:sz w:val="24"/>
          <w:szCs w:val="24"/>
          <w:lang w:eastAsia="ar-SA"/>
        </w:rPr>
        <w:t>Wiązownica</w:t>
      </w:r>
      <w:bookmarkEnd w:id="3"/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2022-2030 </w:t>
      </w:r>
      <w:r>
        <w:rPr>
          <w:rFonts w:ascii="Arial" w:eastAsia="Times New Roman" w:hAnsi="Arial" w:cs="Arial"/>
          <w:sz w:val="24"/>
          <w:szCs w:val="24"/>
          <w:lang w:eastAsia="ar-SA"/>
        </w:rPr>
        <w:t>w zakresie sposobu uwzględnienia ustaleń i rekomendacji dotyczących kształtowania i prowadzenia polityki przestrzennej w województwie określonych w Strategii rozwoju województwa – Podkarpackie 2030.</w:t>
      </w:r>
    </w:p>
    <w:p w14:paraId="1C28C979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63C5DFD3" w14:textId="77777777" w:rsidR="00524C73" w:rsidRDefault="0091528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39289CA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660FC927" w14:textId="77777777" w:rsidR="00524C73" w:rsidRDefault="0091528F">
      <w:pPr>
        <w:spacing w:after="24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06A4C65F" w14:textId="77777777" w:rsidR="00524C73" w:rsidRDefault="0091528F">
      <w:pPr>
        <w:keepNext/>
        <w:keepLines/>
        <w:spacing w:before="240" w:after="0" w:line="252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27092273" w14:textId="77777777" w:rsidR="00524C73" w:rsidRDefault="0091528F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3ECD9DF" w14:textId="77777777" w:rsidR="00E70598" w:rsidRPr="00CB2243" w:rsidRDefault="00E70598" w:rsidP="00E70598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CB224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06F0DA3" w14:textId="77777777" w:rsidR="00E70598" w:rsidRPr="00CB2243" w:rsidRDefault="00E70598" w:rsidP="00E70598">
      <w:pPr>
        <w:spacing w:after="0"/>
        <w:rPr>
          <w:rFonts w:ascii="Arial" w:eastAsiaTheme="minorEastAsia" w:hAnsi="Arial" w:cs="Arial"/>
        </w:rPr>
      </w:pPr>
      <w:r w:rsidRPr="00CB2243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4F6B06F2" w14:textId="77777777" w:rsidR="00E70598" w:rsidRPr="00CB2243" w:rsidRDefault="00E70598" w:rsidP="00E70598">
      <w:pPr>
        <w:rPr>
          <w:rFonts w:ascii="Arial" w:hAnsi="Arial" w:cs="Arial"/>
        </w:rPr>
      </w:pPr>
    </w:p>
    <w:p w14:paraId="2D33E08E" w14:textId="77777777" w:rsidR="00E70598" w:rsidRDefault="00E70598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1A0C2F9" w14:textId="77777777" w:rsidR="00E70598" w:rsidRDefault="00E70598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7A5ADEE2" w14:textId="3A3A822D" w:rsidR="00E70598" w:rsidRDefault="00E70598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E70598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0B258309" w14:textId="410118CC" w:rsidR="00524C73" w:rsidRDefault="0091528F">
      <w:pPr>
        <w:keepNext/>
        <w:keepLines/>
        <w:spacing w:after="0" w:line="252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>Załą</w:t>
      </w:r>
      <w:r w:rsidR="00361F79">
        <w:rPr>
          <w:rFonts w:ascii="Arial" w:eastAsia="Times New Roman" w:hAnsi="Arial" w:cs="Arial"/>
          <w:sz w:val="24"/>
          <w:szCs w:val="24"/>
          <w:lang w:eastAsia="ar-SA"/>
        </w:rPr>
        <w:t>czn</w:t>
      </w:r>
      <w:r w:rsidR="009B3883">
        <w:rPr>
          <w:rFonts w:ascii="Arial" w:eastAsia="Times New Roman" w:hAnsi="Arial" w:cs="Arial"/>
          <w:sz w:val="24"/>
          <w:szCs w:val="24"/>
          <w:lang w:eastAsia="ar-SA"/>
        </w:rPr>
        <w:t>ik do uchwały Nr 429/8677</w:t>
      </w:r>
      <w:r w:rsidR="00361F79">
        <w:rPr>
          <w:rFonts w:ascii="Arial" w:eastAsia="Times New Roman" w:hAnsi="Arial" w:cs="Arial"/>
          <w:sz w:val="24"/>
          <w:szCs w:val="24"/>
          <w:lang w:eastAsia="ar-SA"/>
        </w:rPr>
        <w:t>/22</w:t>
      </w:r>
    </w:p>
    <w:p w14:paraId="3920985B" w14:textId="0924EE29" w:rsidR="00524C73" w:rsidRDefault="0091528F">
      <w:pPr>
        <w:keepNext/>
        <w:keepLines/>
        <w:spacing w:after="0" w:line="252" w:lineRule="auto"/>
        <w:jc w:val="right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Zarządu Województwa Podkarpackiego 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  <w:t>w Rzeszowie</w:t>
      </w:r>
      <w:r>
        <w:rPr>
          <w:rFonts w:ascii="Arial" w:eastAsia="Times New Roman" w:hAnsi="Arial" w:cs="Arial"/>
          <w:sz w:val="24"/>
          <w:szCs w:val="24"/>
          <w:lang w:eastAsia="ar-SA"/>
        </w:rPr>
        <w:br/>
        <w:t xml:space="preserve">z dnia </w:t>
      </w:r>
      <w:r w:rsidR="00361F79">
        <w:rPr>
          <w:rFonts w:ascii="Arial" w:eastAsia="Times New Roman" w:hAnsi="Arial" w:cs="Arial"/>
          <w:sz w:val="24"/>
          <w:szCs w:val="24"/>
          <w:lang w:eastAsia="ar-SA"/>
        </w:rPr>
        <w:t xml:space="preserve">11 października </w:t>
      </w:r>
      <w:r>
        <w:rPr>
          <w:rFonts w:ascii="Arial" w:eastAsia="Times New Roman" w:hAnsi="Arial" w:cs="Arial"/>
          <w:sz w:val="24"/>
          <w:szCs w:val="24"/>
          <w:lang w:eastAsia="ar-SA"/>
        </w:rPr>
        <w:t>2022 r.</w:t>
      </w:r>
    </w:p>
    <w:p w14:paraId="3281BBB8" w14:textId="77777777" w:rsidR="00524C73" w:rsidRDefault="00524C73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</w:p>
    <w:p w14:paraId="360B4175" w14:textId="77777777" w:rsidR="00524C73" w:rsidRDefault="0091528F">
      <w:pPr>
        <w:spacing w:before="240" w:after="24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68DB0782" w14:textId="77777777" w:rsidR="00524C73" w:rsidRDefault="0091528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Zgodnie z art. 10f ust. 2 i 3 ustawy z dnia 8 marca 1990 r. o samorządzie gminnym 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 Dz. U. z 2022 r. poz. 559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zarządowi województwa w celu wydania opinii dotyczącej sposobu uwzględnienia ustaleń i rekomendacji w zakresie kształtowania i prowadzenia polityki przestrzennej w województwie określonych w strategii rozwoju województwa. </w:t>
      </w:r>
    </w:p>
    <w:p w14:paraId="35BBF68C" w14:textId="77777777" w:rsidR="00524C73" w:rsidRDefault="0091528F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06EE170E" w14:textId="3CCBCF09" w:rsidR="00524C73" w:rsidRDefault="0091528F">
      <w:pPr>
        <w:spacing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B202B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22 sierpnia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r.,</w:t>
      </w:r>
      <w:r w:rsidR="00B202B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znak: SG.033.9.2022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Pan</w:t>
      </w:r>
      <w:r w:rsidR="00B202B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Krzysztof Strent</w:t>
      </w:r>
      <w:r w:rsidR="006D77E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– Wójt Gminy </w:t>
      </w:r>
      <w:r w:rsidR="00875260" w:rsidRPr="00875260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Wiązownica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 o zaopiniowanie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Projektu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B202B0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Wiązownica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2022-2030 (SRG).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6D77E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14 września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2022 r.</w:t>
      </w:r>
    </w:p>
    <w:p w14:paraId="76F71E6B" w14:textId="5F37DBE7" w:rsidR="00524C73" w:rsidRDefault="0091528F">
      <w:pPr>
        <w:spacing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Strategii Rozwoju Gminy </w:t>
      </w:r>
      <w:r w:rsidR="00B202B0">
        <w:rPr>
          <w:rFonts w:ascii="Arial" w:eastAsia="Times New Roman" w:hAnsi="Arial" w:cs="Arial"/>
          <w:sz w:val="24"/>
          <w:szCs w:val="24"/>
          <w:lang w:eastAsia="ar-SA"/>
        </w:rPr>
        <w:t>Wiązownica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na lata 2022-2030 jest zgodny z horyzontem czasowym przyjętym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 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0156E0C4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7CF97646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093B48AE" w14:textId="7FB22654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="006D77EB">
        <w:rPr>
          <w:rFonts w:ascii="Arial" w:eastAsia="Times New Roman" w:hAnsi="Arial" w:cs="Arial"/>
          <w:sz w:val="24"/>
          <w:szCs w:val="24"/>
          <w:lang w:eastAsia="pl-PL"/>
        </w:rPr>
        <w:t>cele operacyjne:  I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="006D77E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6D77EB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>V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6D77EB">
        <w:rPr>
          <w:rFonts w:ascii="Arial" w:eastAsia="Times New Roman" w:hAnsi="Arial" w:cs="Arial"/>
          <w:sz w:val="24"/>
          <w:szCs w:val="24"/>
          <w:lang w:eastAsia="pl-PL"/>
        </w:rPr>
        <w:t>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25FF3C8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76181ED0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456B1A8D" w14:textId="64C50012" w:rsidR="006D77EB" w:rsidRDefault="006D77EB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77EB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14B8DFB4" w14:textId="3E7FEEF7" w:rsidR="00B202B0" w:rsidRDefault="00B202B0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02B0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6CF6242E" w14:textId="18101A95" w:rsidR="00B202B0" w:rsidRDefault="00B202B0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02B0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I</w:t>
      </w:r>
      <w:r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Pr="00B202B0">
        <w:rPr>
          <w:rFonts w:ascii="Arial" w:eastAsia="Times New Roman" w:hAnsi="Arial" w:cs="Arial"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4 </w:t>
      </w:r>
      <w:r w:rsidRPr="00B202B0">
        <w:rPr>
          <w:rFonts w:ascii="Arial" w:eastAsia="Times New Roman" w:hAnsi="Arial" w:cs="Arial"/>
          <w:sz w:val="24"/>
          <w:szCs w:val="24"/>
          <w:lang w:eastAsia="pl-PL"/>
        </w:rPr>
        <w:t>SRG</w:t>
      </w:r>
    </w:p>
    <w:p w14:paraId="710F11C0" w14:textId="77777777" w:rsidR="000A4098" w:rsidRPr="000A4098" w:rsidRDefault="000A4098">
      <w:pPr>
        <w:spacing w:after="120" w:line="276" w:lineRule="auto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58855D78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2.3. Kultura i dziedzictwo kulturowe</w:t>
      </w:r>
    </w:p>
    <w:p w14:paraId="2C009F63" w14:textId="4F6A87E1" w:rsidR="00B202B0" w:rsidRDefault="00B202B0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02B0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I</w:t>
      </w:r>
      <w:r>
        <w:rPr>
          <w:rFonts w:ascii="Arial" w:eastAsia="Times New Roman" w:hAnsi="Arial" w:cs="Arial"/>
          <w:sz w:val="24"/>
          <w:szCs w:val="24"/>
          <w:lang w:eastAsia="pl-PL"/>
        </w:rPr>
        <w:t>V</w:t>
      </w:r>
      <w:r w:rsidRPr="00B202B0">
        <w:rPr>
          <w:rFonts w:ascii="Arial" w:eastAsia="Times New Roman" w:hAnsi="Arial" w:cs="Arial"/>
          <w:sz w:val="24"/>
          <w:szCs w:val="24"/>
          <w:lang w:eastAsia="pl-PL"/>
        </w:rPr>
        <w:t>.1 SRG.</w:t>
      </w:r>
    </w:p>
    <w:p w14:paraId="2E6E100D" w14:textId="77777777" w:rsidR="00B202B0" w:rsidRPr="00875260" w:rsidRDefault="00B202B0">
      <w:pPr>
        <w:spacing w:after="120" w:line="276" w:lineRule="auto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6541D7FB" w14:textId="2EEF53C9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3A777CF9" w14:textId="07858D39" w:rsidR="000A4098" w:rsidRDefault="000A4098" w:rsidP="000A409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0BBE22A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9D32E95" w14:textId="4B5BEA1C" w:rsidR="000A4098" w:rsidRDefault="000A4098" w:rsidP="000A4098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D77EB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operacyjny:  I</w:t>
      </w:r>
      <w:r>
        <w:rPr>
          <w:rFonts w:ascii="Arial" w:eastAsia="Times New Roman" w:hAnsi="Arial" w:cs="Arial"/>
          <w:sz w:val="24"/>
          <w:szCs w:val="24"/>
          <w:lang w:eastAsia="pl-PL"/>
        </w:rPr>
        <w:t>II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6D77EB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458DEECD" w14:textId="77777777" w:rsidR="000A4098" w:rsidRPr="000A4098" w:rsidRDefault="000A4098" w:rsidP="000A4098">
      <w:pPr>
        <w:spacing w:after="120" w:line="276" w:lineRule="auto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3A47144A" w14:textId="77777777" w:rsidR="00524C73" w:rsidRDefault="0091528F" w:rsidP="000A4098">
      <w:pPr>
        <w:spacing w:before="240"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6B77726C" w14:textId="19C16B3F" w:rsidR="000A4098" w:rsidRDefault="000A4098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sz w:val="24"/>
          <w:szCs w:val="24"/>
          <w:lang w:eastAsia="pl-PL"/>
        </w:rPr>
        <w:t>W priorytet wpisują si</w:t>
      </w:r>
      <w:r>
        <w:rPr>
          <w:rFonts w:ascii="Arial" w:eastAsia="Times New Roman" w:hAnsi="Arial" w:cs="Arial"/>
          <w:sz w:val="24"/>
          <w:szCs w:val="24"/>
          <w:lang w:eastAsia="pl-PL"/>
        </w:rPr>
        <w:t>ę cele operacyjne:  II.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>2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>II</w:t>
      </w:r>
      <w:r>
        <w:rPr>
          <w:rFonts w:ascii="Arial" w:eastAsia="Times New Roman" w:hAnsi="Arial" w:cs="Arial"/>
          <w:sz w:val="24"/>
          <w:szCs w:val="24"/>
          <w:lang w:eastAsia="pl-PL"/>
        </w:rPr>
        <w:t>I.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 xml:space="preserve">4 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25B4A9E9" w14:textId="606D7CE3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1EE713FB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6079FD6B" w14:textId="46465243" w:rsidR="00B202B0" w:rsidRDefault="00B202B0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202B0">
        <w:rPr>
          <w:rFonts w:ascii="Arial" w:eastAsia="Times New Roman" w:hAnsi="Arial" w:cs="Arial"/>
          <w:sz w:val="24"/>
          <w:szCs w:val="24"/>
          <w:lang w:eastAsia="pl-PL"/>
        </w:rPr>
        <w:t>W priorytet wp</w:t>
      </w:r>
      <w:r>
        <w:rPr>
          <w:rFonts w:ascii="Arial" w:eastAsia="Times New Roman" w:hAnsi="Arial" w:cs="Arial"/>
          <w:sz w:val="24"/>
          <w:szCs w:val="24"/>
          <w:lang w:eastAsia="pl-PL"/>
        </w:rPr>
        <w:t>isują się cele operacyjne:  II.3, III.1</w:t>
      </w:r>
      <w:r w:rsidRPr="00B202B0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5260C42A" w14:textId="77777777" w:rsidR="00B202B0" w:rsidRPr="00875260" w:rsidRDefault="00B202B0">
      <w:pPr>
        <w:spacing w:after="120" w:line="276" w:lineRule="auto"/>
        <w:contextualSpacing/>
        <w:jc w:val="both"/>
        <w:rPr>
          <w:rFonts w:ascii="Arial" w:eastAsia="Times New Roman" w:hAnsi="Arial" w:cs="Arial"/>
          <w:sz w:val="10"/>
          <w:szCs w:val="10"/>
          <w:lang w:eastAsia="pl-PL"/>
        </w:rPr>
      </w:pPr>
    </w:p>
    <w:p w14:paraId="7BEC9E07" w14:textId="42FBD680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1A9A7C98" w14:textId="12CEB4C7" w:rsidR="000A4098" w:rsidRDefault="000A4098" w:rsidP="000A409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 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>II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I.2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4EA3491" w14:textId="2F10A679" w:rsidR="00B202B0" w:rsidRPr="00B202B0" w:rsidRDefault="00B202B0" w:rsidP="00B202B0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202B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</w:t>
      </w:r>
      <w:r w:rsidRPr="00B202B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Rozwój infrastruktury informacyjno-komunikacyjnej w regionie</w:t>
      </w:r>
    </w:p>
    <w:p w14:paraId="47EF7345" w14:textId="77777777" w:rsidR="00B202B0" w:rsidRPr="00B202B0" w:rsidRDefault="00B202B0" w:rsidP="00B202B0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B202B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W priorytet wpisuje się cel operacyjny:  III.2 </w:t>
      </w:r>
      <w:r w:rsidRPr="00B202B0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B202B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0FECA76" w14:textId="77777777" w:rsidR="00524C73" w:rsidRDefault="0091528F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650E27E5" w14:textId="2A89DA55" w:rsidR="000A4098" w:rsidRDefault="00B202B0" w:rsidP="000A4098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0A4098"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si</w:t>
      </w:r>
      <w:r w:rsidR="000A4098">
        <w:rPr>
          <w:rFonts w:ascii="Arial" w:eastAsia="Times New Roman" w:hAnsi="Arial" w:cs="Arial"/>
          <w:sz w:val="24"/>
          <w:szCs w:val="24"/>
          <w:lang w:eastAsia="pl-PL"/>
        </w:rPr>
        <w:t>ę cel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operacyjny</w:t>
      </w:r>
      <w:r w:rsidR="000A4098">
        <w:rPr>
          <w:rFonts w:ascii="Arial" w:eastAsia="Times New Roman" w:hAnsi="Arial" w:cs="Arial"/>
          <w:sz w:val="24"/>
          <w:szCs w:val="24"/>
          <w:lang w:eastAsia="pl-PL"/>
        </w:rPr>
        <w:t xml:space="preserve">:  </w:t>
      </w:r>
      <w:r>
        <w:rPr>
          <w:rFonts w:ascii="Arial" w:eastAsia="Times New Roman" w:hAnsi="Arial" w:cs="Arial"/>
          <w:sz w:val="24"/>
          <w:szCs w:val="24"/>
          <w:lang w:eastAsia="pl-PL"/>
        </w:rPr>
        <w:t>IV.2</w:t>
      </w:r>
      <w:r w:rsidR="000A4098"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151EB9D4" w14:textId="77777777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5644D2C7" w14:textId="096C08FB" w:rsidR="000A4098" w:rsidRDefault="000A4098" w:rsidP="000A4098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sz w:val="24"/>
          <w:szCs w:val="24"/>
          <w:lang w:eastAsia="pl-PL"/>
        </w:rPr>
        <w:t>W priorytet wpisują si</w:t>
      </w:r>
      <w:r>
        <w:rPr>
          <w:rFonts w:ascii="Arial" w:eastAsia="Times New Roman" w:hAnsi="Arial" w:cs="Arial"/>
          <w:sz w:val="24"/>
          <w:szCs w:val="24"/>
          <w:lang w:eastAsia="pl-PL"/>
        </w:rPr>
        <w:t>ę cele operacyjne:  I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>I.3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>II</w:t>
      </w:r>
      <w:r>
        <w:rPr>
          <w:rFonts w:ascii="Arial" w:eastAsia="Times New Roman" w:hAnsi="Arial" w:cs="Arial"/>
          <w:sz w:val="24"/>
          <w:szCs w:val="24"/>
          <w:lang w:eastAsia="pl-PL"/>
        </w:rPr>
        <w:t>I.</w:t>
      </w:r>
      <w:r w:rsidR="00B202B0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0A4098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0CF52DEC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5C93976E" w14:textId="77777777" w:rsidR="000A4098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</w:t>
      </w:r>
      <w:r w:rsidR="000A4098"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4.1. Poprawa dostępności do usług publicznych poprzez wykorzystanie technologii informacyjno-komunikacyjnych </w:t>
      </w:r>
    </w:p>
    <w:p w14:paraId="1AB5A150" w14:textId="0020F786" w:rsidR="000A4098" w:rsidRDefault="000A4098" w:rsidP="000A4098">
      <w:pPr>
        <w:spacing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operacyjny:  I.2 SRG.</w:t>
      </w:r>
    </w:p>
    <w:p w14:paraId="0BC47213" w14:textId="77777777" w:rsidR="000A4098" w:rsidRPr="000A4098" w:rsidRDefault="000A4098" w:rsidP="000A4098">
      <w:pPr>
        <w:spacing w:line="276" w:lineRule="auto"/>
        <w:contextualSpacing/>
        <w:jc w:val="both"/>
        <w:rPr>
          <w:rFonts w:ascii="Arial" w:eastAsia="Times New Roman" w:hAnsi="Arial" w:cs="Arial"/>
          <w:color w:val="000000"/>
          <w:sz w:val="10"/>
          <w:szCs w:val="10"/>
          <w:lang w:eastAsia="pl-PL"/>
        </w:rPr>
      </w:pPr>
    </w:p>
    <w:p w14:paraId="3844096F" w14:textId="09041EB1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</w:t>
      </w:r>
      <w:r w:rsidR="000A4098"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4.2. Planowanie przestrzenne wspierające aktywizację społeczności i aktywizacja obszarów zdegradowanych</w:t>
      </w:r>
    </w:p>
    <w:p w14:paraId="454F4801" w14:textId="21267A7E" w:rsidR="000A4098" w:rsidRPr="000A4098" w:rsidRDefault="000A4098" w:rsidP="000A4098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operacyjny:  I</w:t>
      </w:r>
      <w:r w:rsidR="00B202B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I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B202B0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3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0A4098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Pr="000A409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1D175FE" w14:textId="77777777" w:rsidR="00524C73" w:rsidRDefault="0091528F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30DFA589" w14:textId="77777777" w:rsidR="00B202B0" w:rsidRDefault="00B202B0" w:rsidP="00B202B0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7.3</w:t>
      </w:r>
      <w:r w:rsidRPr="00B202B0">
        <w:rPr>
          <w:rFonts w:ascii="Arial" w:eastAsia="Times New Roman" w:hAnsi="Arial" w:cs="Arial"/>
          <w:sz w:val="24"/>
          <w:szCs w:val="24"/>
          <w:lang w:eastAsia="pl-PL"/>
        </w:rPr>
        <w:t xml:space="preserve">. Obszary wymagające szczególnego wsparcia w kontekście równoważenia rozwoju </w:t>
      </w:r>
    </w:p>
    <w:p w14:paraId="37DD58EA" w14:textId="71D25698" w:rsidR="00524C73" w:rsidRDefault="0091528F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7.4. Obszary wiejskie – wysoka jakość przestrzeni do zamieszkania, pracy i wypoczynku</w:t>
      </w:r>
    </w:p>
    <w:p w14:paraId="2D510C9E" w14:textId="77777777" w:rsidR="00875260" w:rsidRDefault="00875260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23698C4" w14:textId="018442D0" w:rsidR="00173CA7" w:rsidRDefault="00173CA7" w:rsidP="00B202B0">
      <w:pPr>
        <w:spacing w:after="120" w:line="276" w:lineRule="auto"/>
        <w:contextualSpacing/>
        <w:jc w:val="both"/>
        <w:rPr>
          <w:rFonts w:ascii="Arial" w:eastAsia="Calibri" w:hAnsi="Arial" w:cs="Arial"/>
          <w:i/>
          <w:iCs/>
          <w:sz w:val="24"/>
          <w:szCs w:val="24"/>
        </w:rPr>
      </w:pPr>
      <w:r w:rsidRPr="00360B25">
        <w:rPr>
          <w:rFonts w:ascii="Arial" w:eastAsia="Calibri" w:hAnsi="Arial" w:cs="Arial"/>
          <w:sz w:val="24"/>
          <w:szCs w:val="24"/>
        </w:rPr>
        <w:t xml:space="preserve">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Projekcie</w:t>
      </w:r>
      <w:r w:rsidRPr="00360B25">
        <w:rPr>
          <w:rFonts w:ascii="Arial" w:eastAsia="Calibri" w:hAnsi="Arial" w:cs="Arial"/>
          <w:sz w:val="24"/>
          <w:szCs w:val="24"/>
        </w:rPr>
        <w:t xml:space="preserve"> 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Gminy </w:t>
      </w:r>
      <w:r w:rsidR="00B202B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Wiązownica</w:t>
      </w:r>
      <w:r w:rsidRPr="00360B25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 w:rsidRPr="00360B25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360B25">
        <w:rPr>
          <w:rFonts w:ascii="Arial" w:eastAsia="Calibri" w:hAnsi="Arial" w:cs="Arial"/>
          <w:sz w:val="24"/>
          <w:szCs w:val="24"/>
        </w:rPr>
        <w:t xml:space="preserve">w sposób prawidłowy przyporządkowano zakładane z poziomu gminy cele operacyjne do priorytetów </w:t>
      </w:r>
      <w:r w:rsidRPr="00360B25">
        <w:rPr>
          <w:rFonts w:ascii="Arial" w:eastAsia="Calibri" w:hAnsi="Arial" w:cs="Arial"/>
          <w:i/>
          <w:iCs/>
          <w:sz w:val="24"/>
          <w:szCs w:val="24"/>
        </w:rPr>
        <w:t>Strategii rozwoju województwa – Podkarpackie 2030.</w:t>
      </w:r>
    </w:p>
    <w:p w14:paraId="082D23D5" w14:textId="12BB0E83" w:rsidR="00524C73" w:rsidRDefault="0091528F">
      <w:pPr>
        <w:spacing w:before="24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Przedłożony do zaopiniowania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Projekt Strategii Rozwoju Gminy </w:t>
      </w:r>
      <w:r w:rsidR="00B202B0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Wiązownica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na lata 2022-2030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 diagnozy, cele strategiczne rozwoju                           w 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                   w zakresie kształtowania 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                                z zakresem planowanych działań, </w:t>
      </w:r>
      <w:r>
        <w:rPr>
          <w:rFonts w:ascii="Arial" w:eastAsia="Calibri" w:hAnsi="Arial" w:cs="Arial"/>
          <w:sz w:val="24"/>
          <w:szCs w:val="24"/>
        </w:rPr>
        <w:t xml:space="preserve">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302EE2A3" w14:textId="77777777" w:rsidR="005C4BE7" w:rsidRDefault="005C4BE7" w:rsidP="00261868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C4BE7">
        <w:rPr>
          <w:rFonts w:ascii="Arial" w:eastAsia="Times New Roman" w:hAnsi="Arial" w:cs="Arial"/>
          <w:sz w:val="24"/>
          <w:szCs w:val="24"/>
          <w:lang w:eastAsia="ar-SA"/>
        </w:rPr>
        <w:t>W toku przeprowadzonej analizy dokumentu sformułowano następujące wnioski i rekomendacje, które przesądziły o opinii Zarządu Województwa Podkarpackiego na temat sposobu uwzględnienia ustaleń i rekomendacji w zakresie kształtowania i prowadzenia polityki przestrzennej w województwie określonych w strategii rozwoju województwa.</w:t>
      </w:r>
    </w:p>
    <w:p w14:paraId="1095B487" w14:textId="35A73452" w:rsidR="00DF5639" w:rsidRDefault="005C4BE7" w:rsidP="00261868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Po pierwsz</w:t>
      </w:r>
      <w:r w:rsidR="00AD3349">
        <w:rPr>
          <w:rFonts w:ascii="Arial" w:eastAsia="Times New Roman" w:hAnsi="Arial" w:cs="Arial"/>
          <w:sz w:val="24"/>
          <w:szCs w:val="24"/>
          <w:lang w:eastAsia="ar-SA"/>
        </w:rPr>
        <w:t>e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zwraca się uwagę, iż w części diagnostycznej oraz w analizie SWOT podkreśla się, iż </w:t>
      </w:r>
      <w:r w:rsidR="00BA4736">
        <w:rPr>
          <w:rFonts w:ascii="Arial" w:eastAsia="Times New Roman" w:hAnsi="Arial" w:cs="Arial"/>
          <w:sz w:val="24"/>
          <w:szCs w:val="24"/>
          <w:lang w:eastAsia="ar-SA"/>
        </w:rPr>
        <w:t xml:space="preserve">niewielka powierzchnia obszaru gminy pokryta jest miejscowymi planami zagospodarowania przestrzennego.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Jednakże </w:t>
      </w:r>
      <w:r w:rsidR="007A511A">
        <w:rPr>
          <w:rFonts w:ascii="Arial" w:eastAsia="Times New Roman" w:hAnsi="Arial" w:cs="Arial"/>
          <w:sz w:val="24"/>
          <w:szCs w:val="24"/>
          <w:lang w:eastAsia="ar-SA"/>
        </w:rPr>
        <w:t>w SRG</w:t>
      </w:r>
      <w:r w:rsidR="00BA4736">
        <w:rPr>
          <w:rFonts w:ascii="Arial" w:eastAsia="Times New Roman" w:hAnsi="Arial" w:cs="Arial"/>
          <w:sz w:val="24"/>
          <w:szCs w:val="24"/>
          <w:lang w:eastAsia="ar-SA"/>
        </w:rPr>
        <w:t xml:space="preserve"> nie uwzględniono kierunków działań </w:t>
      </w:r>
      <w:r w:rsidR="00AD3349">
        <w:rPr>
          <w:rFonts w:ascii="Arial" w:eastAsia="Times New Roman" w:hAnsi="Arial" w:cs="Arial"/>
          <w:sz w:val="24"/>
          <w:szCs w:val="24"/>
          <w:lang w:eastAsia="ar-SA"/>
        </w:rPr>
        <w:t xml:space="preserve">odnoszących się do </w:t>
      </w:r>
      <w:r w:rsidR="00BA4736">
        <w:rPr>
          <w:rFonts w:ascii="Arial" w:eastAsia="Times New Roman" w:hAnsi="Arial" w:cs="Arial"/>
          <w:sz w:val="24"/>
          <w:szCs w:val="24"/>
          <w:lang w:eastAsia="ar-SA"/>
        </w:rPr>
        <w:t>wymiar</w:t>
      </w:r>
      <w:r w:rsidR="00AD3349">
        <w:rPr>
          <w:rFonts w:ascii="Arial" w:eastAsia="Times New Roman" w:hAnsi="Arial" w:cs="Arial"/>
          <w:sz w:val="24"/>
          <w:szCs w:val="24"/>
          <w:lang w:eastAsia="ar-SA"/>
        </w:rPr>
        <w:t>u</w:t>
      </w:r>
      <w:r w:rsidR="00BA4736">
        <w:rPr>
          <w:rFonts w:ascii="Arial" w:eastAsia="Times New Roman" w:hAnsi="Arial" w:cs="Arial"/>
          <w:sz w:val="24"/>
          <w:szCs w:val="24"/>
          <w:lang w:eastAsia="ar-SA"/>
        </w:rPr>
        <w:t xml:space="preserve"> przestrzenn</w:t>
      </w:r>
      <w:r w:rsidR="00AD3349">
        <w:rPr>
          <w:rFonts w:ascii="Arial" w:eastAsia="Times New Roman" w:hAnsi="Arial" w:cs="Arial"/>
          <w:sz w:val="24"/>
          <w:szCs w:val="24"/>
          <w:lang w:eastAsia="ar-SA"/>
        </w:rPr>
        <w:t xml:space="preserve">ego, w szczególności do aktualizacji i opracowania dokumentów planistycznych. </w:t>
      </w:r>
      <w:r w:rsidR="007A511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DF5639">
        <w:rPr>
          <w:rFonts w:ascii="Arial" w:eastAsia="Times New Roman" w:hAnsi="Arial" w:cs="Arial"/>
          <w:sz w:val="24"/>
          <w:szCs w:val="24"/>
          <w:lang w:eastAsia="ar-SA"/>
        </w:rPr>
        <w:t xml:space="preserve">W związku z powyższym w celu uzyskania zgodności ze SRW </w:t>
      </w:r>
      <w:r w:rsidR="00DF5639" w:rsidRPr="00DF5639">
        <w:rPr>
          <w:rFonts w:ascii="Arial" w:eastAsia="Times New Roman" w:hAnsi="Arial" w:cs="Arial"/>
          <w:sz w:val="24"/>
          <w:szCs w:val="24"/>
          <w:lang w:eastAsia="ar-SA"/>
        </w:rPr>
        <w:t>w zakresie kształtowania i prowadzenia polityki przestrzenne</w:t>
      </w:r>
      <w:r w:rsidR="00DF5639">
        <w:rPr>
          <w:rFonts w:ascii="Arial" w:eastAsia="Times New Roman" w:hAnsi="Arial" w:cs="Arial"/>
          <w:sz w:val="24"/>
          <w:szCs w:val="24"/>
          <w:lang w:eastAsia="ar-SA"/>
        </w:rPr>
        <w:t>j, wskazuje się na konieczność uszczegółowienia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przez projektodawcę </w:t>
      </w:r>
      <w:r w:rsidR="00BA4736">
        <w:rPr>
          <w:rFonts w:ascii="Arial" w:eastAsia="Times New Roman" w:hAnsi="Arial" w:cs="Arial"/>
          <w:sz w:val="24"/>
          <w:szCs w:val="24"/>
          <w:lang w:eastAsia="ar-SA"/>
        </w:rPr>
        <w:t xml:space="preserve">dokumentu SRG w tym zakresie. </w:t>
      </w:r>
    </w:p>
    <w:p w14:paraId="300D3C67" w14:textId="7EFF3B6C" w:rsidR="00BA4736" w:rsidRDefault="00DF7615" w:rsidP="00261868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Odnosząc się do modelu </w:t>
      </w:r>
      <w:r w:rsidRPr="00DF7615">
        <w:rPr>
          <w:rFonts w:ascii="Arial" w:eastAsia="Times New Roman" w:hAnsi="Arial" w:cs="Arial"/>
          <w:sz w:val="24"/>
          <w:szCs w:val="24"/>
          <w:lang w:eastAsia="ar-SA"/>
        </w:rPr>
        <w:t xml:space="preserve">struktury funkcjonalno-przestrzennej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należy wskazać, iż powinien </w:t>
      </w:r>
      <w:r w:rsidRPr="00DF7615">
        <w:rPr>
          <w:rFonts w:ascii="Arial" w:eastAsia="Times New Roman" w:hAnsi="Arial" w:cs="Arial"/>
          <w:sz w:val="24"/>
          <w:szCs w:val="24"/>
          <w:lang w:eastAsia="ar-SA"/>
        </w:rPr>
        <w:t>on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przedstawiać</w:t>
      </w:r>
      <w:r w:rsidRPr="00DF7615">
        <w:rPr>
          <w:rFonts w:ascii="Arial" w:eastAsia="Times New Roman" w:hAnsi="Arial" w:cs="Arial"/>
          <w:sz w:val="24"/>
          <w:szCs w:val="24"/>
          <w:lang w:eastAsia="ar-SA"/>
        </w:rPr>
        <w:t xml:space="preserve"> kierunki rozwoju przestrzennego dla terytorium gminy oraz wskaz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ywać </w:t>
      </w:r>
      <w:r w:rsidRPr="00DF7615">
        <w:rPr>
          <w:rFonts w:ascii="Arial" w:eastAsia="Times New Roman" w:hAnsi="Arial" w:cs="Arial"/>
          <w:sz w:val="24"/>
          <w:szCs w:val="24"/>
          <w:lang w:eastAsia="ar-SA"/>
        </w:rPr>
        <w:t xml:space="preserve">jakie zmiany powinny zaistnieć w przestrzeni, aby zrealizować wyznaczone cele strategiczne oraz osiągnąć efekty tych celów. Baza zawartości katalogu zagadnień obejmuje typowe dla tego rodzaju projekcji elementy tj. sieć osadniczą, obszary o kluczowych funkcjach dla rozwoju, powiązania infrastrukturalne, w tym transportowe i energetyczne, sieć ekologiczną oraz inne ważne z punktu widzenia gminy. </w:t>
      </w:r>
      <w:r>
        <w:rPr>
          <w:rFonts w:ascii="Arial" w:eastAsia="Times New Roman" w:hAnsi="Arial" w:cs="Arial"/>
          <w:sz w:val="24"/>
          <w:szCs w:val="24"/>
          <w:lang w:eastAsia="ar-SA"/>
        </w:rPr>
        <w:t>W kontekście powyższego, z</w:t>
      </w:r>
      <w:r w:rsidRPr="00DF7615">
        <w:rPr>
          <w:rFonts w:ascii="Arial" w:eastAsia="Times New Roman" w:hAnsi="Arial" w:cs="Arial"/>
          <w:sz w:val="24"/>
          <w:szCs w:val="24"/>
          <w:lang w:eastAsia="ar-SA"/>
        </w:rPr>
        <w:t>daniem Zarządu Województwa Podkarpackiego model ten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 nieczytelny sposób przedstawia sieć osadniczą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 xml:space="preserve">. Ponadto weryfikacji wymaga zakres </w:t>
      </w:r>
      <w:r w:rsidR="00FB1306" w:rsidRPr="00FB1306">
        <w:rPr>
          <w:rFonts w:ascii="Arial" w:eastAsia="Times New Roman" w:hAnsi="Arial" w:cs="Arial"/>
          <w:sz w:val="24"/>
          <w:szCs w:val="24"/>
          <w:lang w:eastAsia="ar-SA"/>
        </w:rPr>
        <w:t>map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 xml:space="preserve">y </w:t>
      </w:r>
      <w:r w:rsidR="00BA4736">
        <w:rPr>
          <w:rFonts w:ascii="Arial" w:eastAsia="Times New Roman" w:hAnsi="Arial" w:cs="Arial"/>
          <w:sz w:val="24"/>
          <w:szCs w:val="24"/>
          <w:lang w:eastAsia="ar-SA"/>
        </w:rPr>
        <w:t>14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 xml:space="preserve"> – Uwarunkowania</w:t>
      </w:r>
      <w:r w:rsidR="00BA4736">
        <w:rPr>
          <w:rFonts w:ascii="Arial" w:eastAsia="Times New Roman" w:hAnsi="Arial" w:cs="Arial"/>
          <w:sz w:val="24"/>
          <w:szCs w:val="24"/>
          <w:lang w:eastAsia="ar-SA"/>
        </w:rPr>
        <w:t xml:space="preserve">, infrastruktura techniczna, zagrożenie powodziowe, mapy 15 – Uwarunkowania przyrodnicze, Geologia, </w:t>
      </w:r>
      <w:r w:rsidR="00070D76">
        <w:rPr>
          <w:rFonts w:ascii="Arial" w:eastAsia="Times New Roman" w:hAnsi="Arial" w:cs="Arial"/>
          <w:sz w:val="24"/>
          <w:szCs w:val="24"/>
          <w:lang w:eastAsia="ar-SA"/>
        </w:rPr>
        <w:t>Gazociągi</w:t>
      </w:r>
      <w:r w:rsidR="00BA4736">
        <w:rPr>
          <w:rFonts w:ascii="Arial" w:eastAsia="Times New Roman" w:hAnsi="Arial" w:cs="Arial"/>
          <w:sz w:val="24"/>
          <w:szCs w:val="24"/>
          <w:lang w:eastAsia="ar-SA"/>
        </w:rPr>
        <w:t xml:space="preserve">, </w:t>
      </w:r>
      <w:r w:rsidR="00070D76"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="00AD3349">
        <w:rPr>
          <w:rFonts w:ascii="Arial" w:eastAsia="Times New Roman" w:hAnsi="Arial" w:cs="Arial"/>
          <w:sz w:val="24"/>
          <w:szCs w:val="24"/>
          <w:lang w:eastAsia="ar-SA"/>
        </w:rPr>
        <w:t>apy</w:t>
      </w:r>
      <w:r w:rsidR="00BA4736">
        <w:rPr>
          <w:rFonts w:ascii="Arial" w:eastAsia="Times New Roman" w:hAnsi="Arial" w:cs="Arial"/>
          <w:sz w:val="24"/>
          <w:szCs w:val="24"/>
          <w:lang w:eastAsia="ar-SA"/>
        </w:rPr>
        <w:t xml:space="preserve"> 16 </w:t>
      </w:r>
      <w:r w:rsidR="00070D76">
        <w:rPr>
          <w:rFonts w:ascii="Arial" w:eastAsia="Times New Roman" w:hAnsi="Arial" w:cs="Arial"/>
          <w:sz w:val="24"/>
          <w:szCs w:val="24"/>
          <w:lang w:eastAsia="ar-SA"/>
        </w:rPr>
        <w:t>Uwarunkowania, infrastruktura</w:t>
      </w:r>
      <w:r w:rsidR="00BA4736">
        <w:rPr>
          <w:rFonts w:ascii="Arial" w:eastAsia="Times New Roman" w:hAnsi="Arial" w:cs="Arial"/>
          <w:sz w:val="24"/>
          <w:szCs w:val="24"/>
          <w:lang w:eastAsia="ar-SA"/>
        </w:rPr>
        <w:t xml:space="preserve"> i korytarz ekologiczny</w:t>
      </w:r>
      <w:r w:rsidR="00070D76">
        <w:rPr>
          <w:rFonts w:ascii="Arial" w:eastAsia="Times New Roman" w:hAnsi="Arial" w:cs="Arial"/>
          <w:sz w:val="24"/>
          <w:szCs w:val="24"/>
          <w:lang w:eastAsia="ar-SA"/>
        </w:rPr>
        <w:t xml:space="preserve"> i</w:t>
      </w:r>
      <w:r w:rsidR="00AD3349">
        <w:rPr>
          <w:rFonts w:ascii="Arial" w:eastAsia="Times New Roman" w:hAnsi="Arial" w:cs="Arial"/>
          <w:sz w:val="24"/>
          <w:szCs w:val="24"/>
          <w:lang w:eastAsia="ar-SA"/>
        </w:rPr>
        <w:t xml:space="preserve"> mapy</w:t>
      </w:r>
      <w:r w:rsidR="00BA4736">
        <w:rPr>
          <w:rFonts w:ascii="Arial" w:eastAsia="Times New Roman" w:hAnsi="Arial" w:cs="Arial"/>
          <w:sz w:val="24"/>
          <w:szCs w:val="24"/>
          <w:lang w:eastAsia="ar-SA"/>
        </w:rPr>
        <w:t xml:space="preserve"> 17 – Uwarunkowania </w:t>
      </w:r>
      <w:r w:rsidR="00FB1306">
        <w:rPr>
          <w:rFonts w:ascii="Arial" w:eastAsia="Times New Roman" w:hAnsi="Arial" w:cs="Arial"/>
          <w:sz w:val="24"/>
          <w:szCs w:val="24"/>
          <w:lang w:eastAsia="ar-SA"/>
        </w:rPr>
        <w:t xml:space="preserve">przyrodnicze – </w:t>
      </w:r>
      <w:r w:rsidR="00070D76">
        <w:rPr>
          <w:rFonts w:ascii="Arial" w:eastAsia="Times New Roman" w:hAnsi="Arial" w:cs="Arial"/>
          <w:sz w:val="24"/>
          <w:szCs w:val="24"/>
          <w:lang w:eastAsia="ar-SA"/>
        </w:rPr>
        <w:t xml:space="preserve">cmentarze, pomniki przyrody, obszar chronionego krajobrazu. Każda z przywołanych map obrazuje tematykę uwarunkowań przyrodniczych i przedstawia formy ochrony przyrody co powoduje powielanie </w:t>
      </w:r>
      <w:r w:rsidR="00AD3349">
        <w:rPr>
          <w:rFonts w:ascii="Arial" w:eastAsia="Times New Roman" w:hAnsi="Arial" w:cs="Arial"/>
          <w:sz w:val="24"/>
          <w:szCs w:val="24"/>
          <w:lang w:eastAsia="ar-SA"/>
        </w:rPr>
        <w:t xml:space="preserve">się </w:t>
      </w:r>
      <w:r w:rsidR="00070D76">
        <w:rPr>
          <w:rFonts w:ascii="Arial" w:eastAsia="Times New Roman" w:hAnsi="Arial" w:cs="Arial"/>
          <w:sz w:val="24"/>
          <w:szCs w:val="24"/>
          <w:lang w:eastAsia="ar-SA"/>
        </w:rPr>
        <w:lastRenderedPageBreak/>
        <w:t>zakresu merytorycznego na poszczególnych mapach. W przypadku mapy 14 -</w:t>
      </w:r>
      <w:r w:rsidR="00070D76" w:rsidRPr="00070D76">
        <w:t xml:space="preserve"> </w:t>
      </w:r>
      <w:r w:rsidR="00070D76" w:rsidRPr="00070D76">
        <w:rPr>
          <w:rFonts w:ascii="Arial" w:eastAsia="Times New Roman" w:hAnsi="Arial" w:cs="Arial"/>
          <w:sz w:val="24"/>
          <w:szCs w:val="24"/>
          <w:lang w:eastAsia="ar-SA"/>
        </w:rPr>
        <w:t>w tytule jest mowa o zagrożeniu powodziowym, którego mapa nie przedstawia.</w:t>
      </w:r>
      <w:r w:rsidR="00070D7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BA4736" w:rsidRPr="00BA4736"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="00070D76">
        <w:rPr>
          <w:rFonts w:ascii="Arial" w:eastAsia="Times New Roman" w:hAnsi="Arial" w:cs="Arial"/>
          <w:sz w:val="24"/>
          <w:szCs w:val="24"/>
          <w:lang w:eastAsia="ar-SA"/>
        </w:rPr>
        <w:t xml:space="preserve">odniesieniu do mapy 18 – strefy funkcjonalne, rekomenduje się weryfikację rozmieszczenia przestrzennego stref, np. strefa o funkcjach usługowych została ograniczona wyłącznie do niewielkiego obszaru w płd. – zach. części gminy tj. m. Szówsko. Ponadto </w:t>
      </w:r>
      <w:r w:rsidR="00070D76" w:rsidRPr="00070D76">
        <w:rPr>
          <w:rFonts w:ascii="Arial" w:eastAsia="Times New Roman" w:hAnsi="Arial" w:cs="Arial"/>
          <w:sz w:val="24"/>
          <w:szCs w:val="24"/>
          <w:lang w:eastAsia="ar-SA"/>
        </w:rPr>
        <w:t xml:space="preserve">mapa 18 wymaga korekt w zakresie oznaczenia linii elektroenergetycznych. Przez teren gminy przebiega linia najwyższych napięć 750 </w:t>
      </w:r>
      <w:proofErr w:type="spellStart"/>
      <w:r w:rsidR="00070D76" w:rsidRPr="00070D76">
        <w:rPr>
          <w:rFonts w:ascii="Arial" w:eastAsia="Times New Roman" w:hAnsi="Arial" w:cs="Arial"/>
          <w:sz w:val="24"/>
          <w:szCs w:val="24"/>
          <w:lang w:eastAsia="ar-SA"/>
        </w:rPr>
        <w:t>kV</w:t>
      </w:r>
      <w:proofErr w:type="spellEnd"/>
      <w:r w:rsidR="00070D76" w:rsidRPr="00070D76">
        <w:rPr>
          <w:rFonts w:ascii="Arial" w:eastAsia="Times New Roman" w:hAnsi="Arial" w:cs="Arial"/>
          <w:sz w:val="24"/>
          <w:szCs w:val="24"/>
          <w:lang w:eastAsia="ar-SA"/>
        </w:rPr>
        <w:t xml:space="preserve"> oraz linia wysokiego napięcia 110 </w:t>
      </w:r>
      <w:proofErr w:type="spellStart"/>
      <w:r w:rsidR="00070D76" w:rsidRPr="00070D76">
        <w:rPr>
          <w:rFonts w:ascii="Arial" w:eastAsia="Times New Roman" w:hAnsi="Arial" w:cs="Arial"/>
          <w:sz w:val="24"/>
          <w:szCs w:val="24"/>
          <w:lang w:eastAsia="ar-SA"/>
        </w:rPr>
        <w:t>kV</w:t>
      </w:r>
      <w:proofErr w:type="spellEnd"/>
      <w:r w:rsidR="00070D76" w:rsidRPr="00070D76">
        <w:rPr>
          <w:rFonts w:ascii="Arial" w:eastAsia="Times New Roman" w:hAnsi="Arial" w:cs="Arial"/>
          <w:sz w:val="24"/>
          <w:szCs w:val="24"/>
          <w:lang w:eastAsia="ar-SA"/>
        </w:rPr>
        <w:t>. Natomiast na rysunku oznaczono wszystkie linie w tym linie średniego napięcia jako linie wysokiego napięcia.</w:t>
      </w:r>
      <w:r w:rsidR="00070D76">
        <w:rPr>
          <w:rFonts w:ascii="Arial" w:eastAsia="Times New Roman" w:hAnsi="Arial" w:cs="Arial"/>
          <w:sz w:val="24"/>
          <w:szCs w:val="24"/>
          <w:lang w:eastAsia="ar-SA"/>
        </w:rPr>
        <w:t xml:space="preserve"> Z uwagi na charakterystykę gminy rekomenduje się </w:t>
      </w:r>
      <w:r w:rsidR="00AD3349">
        <w:rPr>
          <w:rFonts w:ascii="Arial" w:eastAsia="Times New Roman" w:hAnsi="Arial" w:cs="Arial"/>
          <w:sz w:val="24"/>
          <w:szCs w:val="24"/>
          <w:lang w:eastAsia="ar-SA"/>
        </w:rPr>
        <w:t xml:space="preserve">merytoryczny przegląd zawartości map przedstawionych w modelu </w:t>
      </w:r>
      <w:r w:rsidR="00AD3349" w:rsidRPr="00AD3349">
        <w:rPr>
          <w:rFonts w:ascii="Arial" w:eastAsia="Times New Roman" w:hAnsi="Arial" w:cs="Arial"/>
          <w:sz w:val="24"/>
          <w:szCs w:val="24"/>
          <w:lang w:eastAsia="ar-SA"/>
        </w:rPr>
        <w:t>struktury funkcjonalno-przestrzennej</w:t>
      </w:r>
      <w:r w:rsidR="00AD3349">
        <w:rPr>
          <w:rFonts w:ascii="Arial" w:eastAsia="Times New Roman" w:hAnsi="Arial" w:cs="Arial"/>
          <w:sz w:val="24"/>
          <w:szCs w:val="24"/>
          <w:lang w:eastAsia="ar-SA"/>
        </w:rPr>
        <w:t xml:space="preserve">. </w:t>
      </w:r>
    </w:p>
    <w:p w14:paraId="01FDD744" w14:textId="5675A562" w:rsidR="00246196" w:rsidRDefault="00246196" w:rsidP="00261868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Jednym z ustawowo wymaganych</w:t>
      </w:r>
      <w:r w:rsidRPr="00246196">
        <w:rPr>
          <w:rFonts w:ascii="Arial" w:eastAsia="Times New Roman" w:hAnsi="Arial" w:cs="Arial"/>
          <w:sz w:val="24"/>
          <w:szCs w:val="24"/>
          <w:lang w:eastAsia="ar-SA"/>
        </w:rPr>
        <w:t xml:space="preserve"> elementów o których mowa w art. 10e ust. 3 i 4 </w:t>
      </w:r>
      <w:proofErr w:type="spellStart"/>
      <w:r w:rsidRPr="00246196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 są ramy finansowe i źródła finansowania. Zarząd Województwa Podkarpackiego r</w:t>
      </w:r>
      <w:r w:rsidRPr="00246196">
        <w:rPr>
          <w:rFonts w:ascii="Arial" w:eastAsia="Times New Roman" w:hAnsi="Arial" w:cs="Arial"/>
          <w:sz w:val="24"/>
          <w:szCs w:val="24"/>
          <w:lang w:eastAsia="ar-SA"/>
        </w:rPr>
        <w:t>ekomenduje uzupełnienie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tych elementów. Projektodawca oparł ramy </w:t>
      </w:r>
      <w:r w:rsidRPr="00246196">
        <w:rPr>
          <w:rFonts w:ascii="Arial" w:eastAsia="Times New Roman" w:hAnsi="Arial" w:cs="Arial"/>
          <w:sz w:val="24"/>
          <w:szCs w:val="24"/>
          <w:lang w:eastAsia="ar-SA"/>
        </w:rPr>
        <w:t>finansow</w:t>
      </w:r>
      <w:r>
        <w:rPr>
          <w:rFonts w:ascii="Arial" w:eastAsia="Times New Roman" w:hAnsi="Arial" w:cs="Arial"/>
          <w:sz w:val="24"/>
          <w:szCs w:val="24"/>
          <w:lang w:eastAsia="ar-SA"/>
        </w:rPr>
        <w:t>e</w:t>
      </w:r>
      <w:r w:rsidR="00797848">
        <w:rPr>
          <w:rFonts w:ascii="Arial" w:eastAsia="Times New Roman" w:hAnsi="Arial" w:cs="Arial"/>
          <w:sz w:val="24"/>
          <w:szCs w:val="24"/>
          <w:lang w:eastAsia="ar-SA"/>
        </w:rPr>
        <w:t xml:space="preserve"> jedynie</w:t>
      </w:r>
      <w:r w:rsidRPr="00246196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797848">
        <w:rPr>
          <w:rFonts w:ascii="Arial" w:eastAsia="Times New Roman" w:hAnsi="Arial" w:cs="Arial"/>
          <w:sz w:val="24"/>
          <w:szCs w:val="24"/>
          <w:lang w:eastAsia="ar-SA"/>
        </w:rPr>
        <w:t xml:space="preserve">na charakterystyce gospodarki finansowej gminy do 2021 r. oraz przedstawiając kartę zadań z ich szacunkową wartością.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Natomiast źródła finansowania zostały wskazane na znacznym poziomie ogólności pomimo zaawansowanego procesu programowania perspektywy finansowej UE na lata 2021-2027.   </w:t>
      </w:r>
    </w:p>
    <w:p w14:paraId="155BDBBD" w14:textId="1ABCA6A2" w:rsidR="00797848" w:rsidRDefault="00AD3349" w:rsidP="00261868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Ponadto, odwołując się do obligatoryjnych elementów strategii zwraca się uwagę, iż w przedłożonym projekcie SRG nie uwzględniono wytycznych do </w:t>
      </w:r>
      <w:r w:rsidRPr="00AD3349">
        <w:rPr>
          <w:rFonts w:ascii="Arial" w:eastAsia="Times New Roman" w:hAnsi="Arial" w:cs="Arial"/>
          <w:sz w:val="24"/>
          <w:szCs w:val="24"/>
          <w:lang w:eastAsia="ar-SA"/>
        </w:rPr>
        <w:t>sporządzania dokumentów wykonawczych</w:t>
      </w:r>
    </w:p>
    <w:p w14:paraId="12DF9D5D" w14:textId="411217BE" w:rsidR="00261868" w:rsidRDefault="00797848" w:rsidP="00261868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97848">
        <w:rPr>
          <w:rFonts w:ascii="Arial" w:eastAsia="Times New Roman" w:hAnsi="Arial" w:cs="Arial"/>
          <w:sz w:val="24"/>
          <w:szCs w:val="24"/>
          <w:lang w:eastAsia="ar-SA"/>
        </w:rPr>
        <w:t>Biorąc pod uwa</w:t>
      </w:r>
      <w:r>
        <w:rPr>
          <w:rFonts w:ascii="Arial" w:eastAsia="Times New Roman" w:hAnsi="Arial" w:cs="Arial"/>
          <w:sz w:val="24"/>
          <w:szCs w:val="24"/>
          <w:lang w:eastAsia="ar-SA"/>
        </w:rPr>
        <w:t>gę</w:t>
      </w:r>
      <w:r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 zakres </w:t>
      </w:r>
      <w:r>
        <w:rPr>
          <w:rFonts w:ascii="Arial" w:eastAsia="Times New Roman" w:hAnsi="Arial" w:cs="Arial"/>
          <w:sz w:val="24"/>
          <w:szCs w:val="24"/>
          <w:lang w:eastAsia="ar-SA"/>
        </w:rPr>
        <w:t>opinii</w:t>
      </w:r>
      <w:r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 o której mowa w art. 10f ust. 2 </w:t>
      </w:r>
      <w:proofErr w:type="spellStart"/>
      <w:r w:rsidRPr="00797848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. tj. dotyczącej sposobu uwzględnienia w SRG ustaleń i rekomendacji w zakresie kształtowania i prowadzenia polityki przestrzennej w województwie określonych w SRWP 2030, a także zaprezentowane w tym zakresie zapisy SRG, Zarząd Województwa Podkarpackiego działając na podstawie art. 41 ust. 1 ustawy z dnia 5 czerwca 1998 r. o samorządzie województwa (tekst jednolity Dz.U. z 2022 r. poz. 547 ze zm.) oraz art. 10f ust. 3 </w:t>
      </w:r>
      <w:proofErr w:type="spellStart"/>
      <w:r w:rsidRPr="00797848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. postanawia </w:t>
      </w:r>
      <w:r w:rsidR="00875260">
        <w:rPr>
          <w:rFonts w:ascii="Arial" w:eastAsia="Times New Roman" w:hAnsi="Arial" w:cs="Arial"/>
          <w:sz w:val="24"/>
          <w:szCs w:val="24"/>
          <w:lang w:eastAsia="ar-SA"/>
        </w:rPr>
        <w:t>negatywnie</w:t>
      </w:r>
      <w:r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 zaopiniować przedłożony projekt Strategii Rozwoju Gminy </w:t>
      </w:r>
      <w:r w:rsidR="00AD3349">
        <w:rPr>
          <w:rFonts w:ascii="Arial" w:eastAsia="Times New Roman" w:hAnsi="Arial" w:cs="Arial"/>
          <w:sz w:val="24"/>
          <w:szCs w:val="24"/>
          <w:lang w:eastAsia="ar-SA"/>
        </w:rPr>
        <w:t>Wiązownica</w:t>
      </w:r>
      <w:r w:rsidRPr="00797848">
        <w:rPr>
          <w:rFonts w:ascii="Arial" w:eastAsia="Times New Roman" w:hAnsi="Arial" w:cs="Arial"/>
          <w:sz w:val="24"/>
          <w:szCs w:val="24"/>
          <w:lang w:eastAsia="ar-SA"/>
        </w:rPr>
        <w:t xml:space="preserve"> na lata 2022-203</w:t>
      </w:r>
      <w:r>
        <w:rPr>
          <w:rFonts w:ascii="Arial" w:eastAsia="Times New Roman" w:hAnsi="Arial" w:cs="Arial"/>
          <w:sz w:val="24"/>
          <w:szCs w:val="24"/>
          <w:lang w:eastAsia="ar-SA"/>
        </w:rPr>
        <w:t>0</w:t>
      </w:r>
      <w:r w:rsidRPr="00797848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9956955" w14:textId="1A4D41E0" w:rsidR="00797848" w:rsidRDefault="00797848" w:rsidP="00261868">
      <w:pPr>
        <w:spacing w:before="240" w:after="240" w:line="276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ar-SA"/>
        </w:rPr>
      </w:pPr>
      <w:r w:rsidRPr="006C50F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W związku z powyższym, rekomenduje się wprowadzenie w toku dalszego procedowania </w:t>
      </w:r>
      <w:r w:rsidRPr="006C50F9">
        <w:rPr>
          <w:rFonts w:ascii="Arial" w:eastAsia="Times New Roman" w:hAnsi="Arial" w:cs="Arial"/>
          <w:i/>
          <w:color w:val="000000" w:themeColor="text1"/>
          <w:sz w:val="24"/>
          <w:szCs w:val="24"/>
        </w:rPr>
        <w:t>SRG</w:t>
      </w:r>
      <w:r w:rsidRPr="006C50F9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zmian o których mowa w niniejszej uchwale, a następnie ponowne przedłożenie projektu </w:t>
      </w:r>
      <w:r w:rsidRPr="006C50F9">
        <w:rPr>
          <w:rFonts w:ascii="Arial" w:eastAsia="Times New Roman" w:hAnsi="Arial" w:cs="Arial"/>
          <w:i/>
          <w:color w:val="000000" w:themeColor="text1"/>
          <w:sz w:val="24"/>
          <w:szCs w:val="24"/>
        </w:rPr>
        <w:t xml:space="preserve">Strategii </w:t>
      </w:r>
      <w:r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Zarządowi Województwa Podkarpackiego </w:t>
      </w:r>
      <w:r w:rsidRPr="006C50F9">
        <w:rPr>
          <w:rFonts w:ascii="Arial" w:eastAsia="Times New Roman" w:hAnsi="Arial" w:cs="Arial"/>
          <w:color w:val="000000" w:themeColor="text1"/>
          <w:sz w:val="24"/>
          <w:szCs w:val="24"/>
        </w:rPr>
        <w:t>do opiniowania.</w:t>
      </w:r>
    </w:p>
    <w:p w14:paraId="64D3EA8E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AE8868C" w14:textId="7777777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57E7F40" w14:textId="6B639887" w:rsidR="00261868" w:rsidRDefault="00261868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6DF5B44" w14:textId="21BD3305" w:rsidR="00875260" w:rsidRDefault="00875260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25B0F32" w14:textId="77777777" w:rsidR="00875260" w:rsidRDefault="00875260">
      <w:pPr>
        <w:spacing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875260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4C73"/>
    <w:rsid w:val="00070D76"/>
    <w:rsid w:val="000A4098"/>
    <w:rsid w:val="000A724E"/>
    <w:rsid w:val="000E1F20"/>
    <w:rsid w:val="00126FB1"/>
    <w:rsid w:val="00173CA7"/>
    <w:rsid w:val="001854C5"/>
    <w:rsid w:val="001B4836"/>
    <w:rsid w:val="00246196"/>
    <w:rsid w:val="00261868"/>
    <w:rsid w:val="00314BAF"/>
    <w:rsid w:val="00360B25"/>
    <w:rsid w:val="00361F79"/>
    <w:rsid w:val="00515E23"/>
    <w:rsid w:val="00522A06"/>
    <w:rsid w:val="00524C73"/>
    <w:rsid w:val="0056560C"/>
    <w:rsid w:val="0059009F"/>
    <w:rsid w:val="00594DE9"/>
    <w:rsid w:val="005C4BE7"/>
    <w:rsid w:val="005F74B7"/>
    <w:rsid w:val="00625F30"/>
    <w:rsid w:val="006A5E10"/>
    <w:rsid w:val="006D77EB"/>
    <w:rsid w:val="00797848"/>
    <w:rsid w:val="007A511A"/>
    <w:rsid w:val="007D35BF"/>
    <w:rsid w:val="00875260"/>
    <w:rsid w:val="0089136C"/>
    <w:rsid w:val="0091528F"/>
    <w:rsid w:val="009416EE"/>
    <w:rsid w:val="009B2FB5"/>
    <w:rsid w:val="009B3883"/>
    <w:rsid w:val="00AD3349"/>
    <w:rsid w:val="00B202B0"/>
    <w:rsid w:val="00B531CC"/>
    <w:rsid w:val="00B82D5B"/>
    <w:rsid w:val="00BA4736"/>
    <w:rsid w:val="00BB02BD"/>
    <w:rsid w:val="00DA6B2F"/>
    <w:rsid w:val="00DF5153"/>
    <w:rsid w:val="00DF5639"/>
    <w:rsid w:val="00DF7615"/>
    <w:rsid w:val="00E70598"/>
    <w:rsid w:val="00E84EB1"/>
    <w:rsid w:val="00EA16BE"/>
    <w:rsid w:val="00F56EB3"/>
    <w:rsid w:val="00FB1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5C039"/>
  <w15:docId w15:val="{811C2033-E01A-45BF-B40B-BC2B746B2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349"/>
    <w:pPr>
      <w:suppressAutoHyphens/>
      <w:spacing w:after="16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5F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5FC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1546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Surmacz Paulina</dc:creator>
  <cp:lastModifiedBy>.</cp:lastModifiedBy>
  <cp:revision>6</cp:revision>
  <cp:lastPrinted>2022-10-11T11:07:00Z</cp:lastPrinted>
  <dcterms:created xsi:type="dcterms:W3CDTF">2022-10-10T06:11:00Z</dcterms:created>
  <dcterms:modified xsi:type="dcterms:W3CDTF">2022-10-17T10:37:00Z</dcterms:modified>
  <dc:language>pl-PL</dc:language>
</cp:coreProperties>
</file>