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BBA55" w14:textId="77777777" w:rsidR="0049736A" w:rsidRPr="0049736A" w:rsidRDefault="0049736A" w:rsidP="0049736A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49736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490/ </w:t>
      </w:r>
      <w:r w:rsidR="005349D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10203</w:t>
      </w:r>
      <w:r w:rsidRPr="0049736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49736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9736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9736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9736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23 maja  2023 r.</w:t>
      </w:r>
      <w:r w:rsidRPr="0049736A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0EE84079" w14:textId="77777777" w:rsidR="00E63410" w:rsidRPr="00E63410" w:rsidRDefault="00E63410" w:rsidP="00E63410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E6341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zaopiniowania projektu </w:t>
      </w:r>
      <w:r w:rsidRPr="00E63410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Strategii Rozwoju Gminy Dukla</w:t>
      </w:r>
      <w:r w:rsidRPr="00E63410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br/>
        <w:t>na lata 2023-2030</w:t>
      </w:r>
    </w:p>
    <w:p w14:paraId="7EFE2384" w14:textId="77777777" w:rsidR="00E63410" w:rsidRPr="00E63410" w:rsidRDefault="00E63410" w:rsidP="00E63410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41 ust. 1 ustawy z dnia 5 czerwca 1998 r. </w:t>
      </w:r>
      <w:r w:rsidRPr="00E6341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województwa</w:t>
      </w: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1" w:name="_Hlk100137707"/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bookmarkStart w:id="2" w:name="_Hlk97803401"/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z 2022 r. poz. </w:t>
      </w:r>
      <w:bookmarkStart w:id="3" w:name="_Hlk117140884"/>
      <w:bookmarkEnd w:id="2"/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3"/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1"/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art. 10f ust. 2 i 3 ustawy z dnia 8 marca 1990 r. </w:t>
      </w:r>
      <w:r w:rsidRPr="00E6341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bookmarkStart w:id="4" w:name="_Hlk124834991"/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Dz. U. z 2023 r. poz. 40</w:t>
      </w:r>
      <w:bookmarkEnd w:id="4"/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</w:p>
    <w:p w14:paraId="76A57CAE" w14:textId="77777777" w:rsidR="00E63410" w:rsidRPr="00E63410" w:rsidRDefault="00E63410" w:rsidP="00E63410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E6341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45AD179F" w14:textId="77777777" w:rsidR="00E63410" w:rsidRPr="00E63410" w:rsidRDefault="00E63410" w:rsidP="00E63410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E6341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1C7004B5" w14:textId="77777777" w:rsidR="00E63410" w:rsidRPr="00E63410" w:rsidRDefault="00E63410" w:rsidP="00E63410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bookmarkStart w:id="5" w:name="_Hlk45790122"/>
      <w:r w:rsidRPr="00E63410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1</w:t>
      </w:r>
    </w:p>
    <w:bookmarkEnd w:id="5"/>
    <w:p w14:paraId="10715458" w14:textId="77777777" w:rsidR="00E63410" w:rsidRPr="00E63410" w:rsidRDefault="00E63410" w:rsidP="00E63410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projektu </w:t>
      </w:r>
      <w:r w:rsidRPr="00E6341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Gminy Dukla na lata 2023-2030 </w:t>
      </w: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 zakresie sposobu uwzględnienia ustaleń i rekomendacji dotyczących kształtowania i prowadzenia polityki przestrzennej w województwie określonych w </w:t>
      </w:r>
      <w:r w:rsidRPr="00E6341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66BD7D79" w14:textId="77777777" w:rsidR="00E63410" w:rsidRPr="00E63410" w:rsidRDefault="00E63410" w:rsidP="00E63410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E63410">
        <w:rPr>
          <w:rFonts w:ascii="Arial" w:eastAsia="Times New Roman" w:hAnsi="Arial" w:cstheme="majorBidi"/>
          <w:color w:val="000000" w:themeColor="text1"/>
          <w:sz w:val="24"/>
          <w:szCs w:val="26"/>
        </w:rPr>
        <w:t>§ 2</w:t>
      </w:r>
    </w:p>
    <w:p w14:paraId="0E836C11" w14:textId="77777777" w:rsidR="00E63410" w:rsidRPr="00E63410" w:rsidRDefault="00E63410" w:rsidP="00E6341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Opinia stanowi załącznik do niniejszej Uchwały.</w:t>
      </w:r>
    </w:p>
    <w:p w14:paraId="62D58B3C" w14:textId="77777777" w:rsidR="00E63410" w:rsidRPr="00E63410" w:rsidRDefault="00E63410" w:rsidP="00E63410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E63410">
        <w:rPr>
          <w:rFonts w:ascii="Arial" w:eastAsia="Times New Roman" w:hAnsi="Arial" w:cstheme="majorBidi"/>
          <w:color w:val="000000" w:themeColor="text1"/>
          <w:sz w:val="24"/>
          <w:szCs w:val="26"/>
        </w:rPr>
        <w:t>§ 3</w:t>
      </w:r>
    </w:p>
    <w:p w14:paraId="354B6C71" w14:textId="77777777" w:rsidR="00E63410" w:rsidRPr="00E63410" w:rsidRDefault="00E63410" w:rsidP="00E6341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298BF741" w14:textId="77777777" w:rsidR="00E63410" w:rsidRPr="00E63410" w:rsidRDefault="00E63410" w:rsidP="00E63410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r w:rsidRPr="00E63410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4</w:t>
      </w:r>
    </w:p>
    <w:p w14:paraId="79994809" w14:textId="77777777" w:rsidR="00E63410" w:rsidRPr="00E63410" w:rsidRDefault="00E63410" w:rsidP="00E63410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  <w:r w:rsidRPr="00E63410"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1385DBDA" w14:textId="77777777" w:rsidR="00E63410" w:rsidRDefault="00E63410" w:rsidP="00E63410">
      <w:pPr>
        <w:spacing w:after="0" w:line="240" w:lineRule="auto"/>
        <w:jc w:val="right"/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</w:pPr>
    </w:p>
    <w:p w14:paraId="41C55803" w14:textId="77777777" w:rsidR="006C6FCE" w:rsidRDefault="006C6FCE" w:rsidP="00E63410">
      <w:pPr>
        <w:spacing w:after="0" w:line="240" w:lineRule="auto"/>
        <w:jc w:val="right"/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</w:pPr>
    </w:p>
    <w:p w14:paraId="3768F590" w14:textId="77777777" w:rsidR="006C6FCE" w:rsidRPr="003A7133" w:rsidRDefault="006C6FCE" w:rsidP="006C6FCE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14218814"/>
      <w:r w:rsidRPr="003A713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0A17332" w14:textId="77777777" w:rsidR="006C6FCE" w:rsidRPr="003A7133" w:rsidRDefault="006C6FCE" w:rsidP="006C6FCE">
      <w:pPr>
        <w:spacing w:after="0"/>
        <w:rPr>
          <w:rFonts w:ascii="Arial" w:eastAsiaTheme="minorEastAsia" w:hAnsi="Arial" w:cs="Arial"/>
        </w:rPr>
      </w:pPr>
      <w:r w:rsidRPr="003A713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4797F397" w14:textId="77777777" w:rsidR="006C6FCE" w:rsidRDefault="006C6FCE" w:rsidP="00E63410">
      <w:pPr>
        <w:spacing w:after="0" w:line="240" w:lineRule="auto"/>
        <w:jc w:val="right"/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</w:pPr>
    </w:p>
    <w:p w14:paraId="086D6FCB" w14:textId="77777777" w:rsidR="006C6FCE" w:rsidRPr="00E63410" w:rsidRDefault="006C6FCE" w:rsidP="00E63410">
      <w:pPr>
        <w:spacing w:after="0" w:line="240" w:lineRule="auto"/>
        <w:jc w:val="right"/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  <w:sectPr w:rsidR="006C6FCE" w:rsidRPr="00E63410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9666F39" w14:textId="77777777" w:rsidR="0049736A" w:rsidRPr="0049736A" w:rsidRDefault="0049736A" w:rsidP="0049736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7" w:name="_Hlk97711470"/>
      <w:r w:rsidRPr="0049736A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490/</w:t>
      </w:r>
      <w:r w:rsidR="005349D2">
        <w:rPr>
          <w:rFonts w:ascii="Arial" w:eastAsia="Times New Roman" w:hAnsi="Arial" w:cs="Arial"/>
          <w:bCs/>
          <w:sz w:val="24"/>
          <w:szCs w:val="24"/>
          <w:lang w:eastAsia="pl-PL"/>
        </w:rPr>
        <w:t>10203</w:t>
      </w:r>
      <w:r w:rsidRPr="0049736A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19C5CB8E" w14:textId="77777777" w:rsidR="0049736A" w:rsidRPr="0049736A" w:rsidRDefault="0049736A" w:rsidP="0049736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9736A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41EC500" w14:textId="77777777" w:rsidR="0049736A" w:rsidRPr="0049736A" w:rsidRDefault="0049736A" w:rsidP="0049736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9736A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B78769A" w14:textId="77777777" w:rsidR="0049736A" w:rsidRPr="0049736A" w:rsidRDefault="0049736A" w:rsidP="0049736A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9736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49736A">
        <w:rPr>
          <w:rFonts w:ascii="Arial" w:eastAsia="Times New Roman" w:hAnsi="Arial" w:cs="Times New Roman"/>
          <w:sz w:val="24"/>
          <w:szCs w:val="24"/>
          <w:lang w:eastAsia="pl-PL"/>
        </w:rPr>
        <w:t xml:space="preserve">23 maja 2023 </w:t>
      </w:r>
      <w:r w:rsidRPr="0049736A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7"/>
    </w:p>
    <w:p w14:paraId="176AD77A" w14:textId="77777777" w:rsidR="00E63410" w:rsidRPr="00E63410" w:rsidRDefault="00E63410" w:rsidP="00E63410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E6341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Opinia o spójności dokumentu ze </w:t>
      </w:r>
      <w:r w:rsidRPr="00E63410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Pr="00E6341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w zakresie sposobu uwzględnienia w nim ustaleń i rekomendacji dotyczących kształtowania i prowadzenia polityki przestrzennej w województwie.</w:t>
      </w:r>
    </w:p>
    <w:p w14:paraId="78D91B83" w14:textId="77777777" w:rsidR="00E63410" w:rsidRPr="00E63410" w:rsidRDefault="00E63410" w:rsidP="00E63410">
      <w:pPr>
        <w:spacing w:after="120" w:line="276" w:lineRule="auto"/>
        <w:jc w:val="both"/>
        <w:rPr>
          <w:rFonts w:ascii="Arial" w:eastAsia="Calibri" w:hAnsi="Arial" w:cs="Arial"/>
          <w:b/>
          <w:bCs/>
          <w:iCs/>
          <w:color w:val="000000" w:themeColor="text1"/>
          <w:sz w:val="24"/>
          <w:szCs w:val="24"/>
          <w:shd w:val="clear" w:color="auto" w:fill="FFFFFF"/>
        </w:rPr>
      </w:pPr>
      <w:r w:rsidRPr="00E63410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Zgodnie z art. 10f ust. 2 i 3 ustawy z dnia 8 marca 1990 r. </w:t>
      </w:r>
      <w:r w:rsidRPr="00E63410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o samorządzie gminnym</w:t>
      </w:r>
      <w:r w:rsidRPr="00E63410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E63410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t.j</w:t>
      </w:r>
      <w:proofErr w:type="spellEnd"/>
      <w:r w:rsidRPr="00E63410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 Dz. U. z 2023 r. poz. 40, dalej </w:t>
      </w:r>
      <w:proofErr w:type="spellStart"/>
      <w:r w:rsidRPr="00E63410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Pr="00E63410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.) opracowany przez wójta projekt strategii rozwoju gminy przedkładany jest zarządowi województwa w celu wydania opinii </w:t>
      </w:r>
      <w:bookmarkStart w:id="8" w:name="_Hlk95207198"/>
      <w:r w:rsidRPr="00E63410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dotyczącej sposobu uwzględnienia ustaleń i rekomendacji w zakresie kształtowania i prowadzenia polityki przestrzennej w województwie określonych w strategii rozwoju województwa.</w:t>
      </w:r>
    </w:p>
    <w:bookmarkEnd w:id="8"/>
    <w:p w14:paraId="3C0179A2" w14:textId="77777777" w:rsidR="00E63410" w:rsidRPr="00E63410" w:rsidRDefault="00E63410" w:rsidP="00E63410">
      <w:pPr>
        <w:spacing w:after="120"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E63410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1FA41E3C" w14:textId="77777777" w:rsidR="00E63410" w:rsidRDefault="00E63410" w:rsidP="00E63410">
      <w:pPr>
        <w:spacing w:after="120"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bookmarkStart w:id="9" w:name="_Hlk125546909"/>
      <w:bookmarkStart w:id="10" w:name="_Hlk98835338"/>
      <w:bookmarkStart w:id="11" w:name="_Hlk97803195"/>
      <w:r w:rsidRPr="00E63410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W dniu 20 kwietnia 2023 r. do Urzędu Marszałkowskiego Województwa Podkarpackiego wpłynęło pismo z dnia 19 kwietnia 2023 r., znak: OI.061.1.3.2023 od Pana Andrzeja Bytnara – Burmistrza Dukli zawierające prośbę o wydanie opinii o której mowa w art. 10f ust. 2 i 3 </w:t>
      </w:r>
      <w:proofErr w:type="spellStart"/>
      <w:r w:rsidRPr="00E63410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Pr="00E63410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 dla projektu </w:t>
      </w:r>
      <w:r w:rsidRPr="00E63410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Strategii Rozwoju Gminy Dukla na lata 2023-2030</w:t>
      </w:r>
      <w:r w:rsidRPr="00E63410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bookmarkEnd w:id="9"/>
      <w:r w:rsidRPr="00E63410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(</w:t>
      </w:r>
      <w:r w:rsidRPr="00E63410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SRG</w:t>
      </w:r>
      <w:r w:rsidRPr="00E63410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).</w:t>
      </w:r>
    </w:p>
    <w:p w14:paraId="7628AA3A" w14:textId="77777777" w:rsidR="002E7D30" w:rsidRDefault="002E7D30" w:rsidP="002E7D30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E63410">
        <w:rPr>
          <w:rFonts w:ascii="Arial" w:eastAsia="Times New Roman" w:hAnsi="Arial" w:cs="Arial"/>
          <w:color w:val="000000" w:themeColor="text1"/>
          <w:sz w:val="24"/>
          <w:szCs w:val="24"/>
        </w:rPr>
        <w:t>Przedłożony projekt stanowi drugą wersję SRG. Pierwsza wersja Uchwałą Zarządu Województwa Podkarpackiego Nr 46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3</w:t>
      </w:r>
      <w:r w:rsidRPr="00E63410">
        <w:rPr>
          <w:rFonts w:ascii="Arial" w:eastAsia="Times New Roman" w:hAnsi="Arial" w:cs="Arial"/>
          <w:color w:val="000000" w:themeColor="text1"/>
          <w:sz w:val="24"/>
          <w:szCs w:val="24"/>
        </w:rPr>
        <w:t>/9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602</w:t>
      </w:r>
      <w:r w:rsidRPr="00E634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/23 z dnia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20</w:t>
      </w:r>
      <w:r w:rsidRPr="00E634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lutego 2023 r. zaopiniowana została negatywnie.</w:t>
      </w:r>
    </w:p>
    <w:bookmarkEnd w:id="10"/>
    <w:bookmarkEnd w:id="11"/>
    <w:p w14:paraId="11176963" w14:textId="77777777" w:rsidR="00E63410" w:rsidRPr="00E63410" w:rsidRDefault="00E63410" w:rsidP="00E63410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Przeprowadzona analiza wykazała, że zakres przedstawionego projektu </w:t>
      </w:r>
      <w:r w:rsidRPr="00E6341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Gminy Dukla na lata 2023-2030 </w:t>
      </w: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mieści się w horyzoncie czasowym przyjętym w </w:t>
      </w:r>
      <w:r w:rsidRPr="00E6341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województwa – Podkarpackie 2030 </w:t>
      </w: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Pr="00E6341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). Wyznaczone w nim cele strategiczne, a w ich ramach Priorytety wraz z określonymi celami operacyjnymi i wskazanymi działaniami wpisują się w zapisy </w:t>
      </w:r>
      <w:r w:rsidRPr="00E6341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W szczególności można przypisać je w sposób bezpośredni lub pośredni m.in. w niżej wymienione obszary tematyczne i priorytety </w:t>
      </w:r>
      <w:r w:rsidRPr="00E6341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4A32A73F" w14:textId="77777777" w:rsidR="00E63410" w:rsidRPr="00E63410" w:rsidRDefault="00E63410" w:rsidP="00E63410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14470324" w14:textId="77777777" w:rsidR="00E63410" w:rsidRPr="00E63410" w:rsidRDefault="00E63410" w:rsidP="00E634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03503B19" w14:textId="77777777" w:rsidR="00E63410" w:rsidRPr="00E63410" w:rsidRDefault="00E63410" w:rsidP="00E63410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2" w:name="_Hlk126132156"/>
      <w:bookmarkStart w:id="13" w:name="_Hlk126130737"/>
      <w:r w:rsidRPr="00E63410">
        <w:rPr>
          <w:rFonts w:ascii="Arial" w:hAnsi="Arial" w:cs="Arial"/>
          <w:color w:val="000000" w:themeColor="text1"/>
          <w:sz w:val="24"/>
          <w:szCs w:val="24"/>
        </w:rPr>
        <w:t xml:space="preserve">W przedmiotowy Priorytet wpisują się Priorytety I.1, I.2 oraz I.3 </w:t>
      </w:r>
      <w:r w:rsidRPr="00E63410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bookmarkEnd w:id="12"/>
      <w:r w:rsidRPr="00E63410">
        <w:rPr>
          <w:rFonts w:ascii="Arial" w:hAnsi="Arial" w:cs="Arial"/>
          <w:color w:val="000000" w:themeColor="text1"/>
          <w:sz w:val="24"/>
          <w:szCs w:val="24"/>
        </w:rPr>
        <w:t>.</w:t>
      </w:r>
    </w:p>
    <w:bookmarkEnd w:id="13"/>
    <w:p w14:paraId="37F7D858" w14:textId="77777777" w:rsidR="00E63410" w:rsidRPr="00E63410" w:rsidRDefault="00E63410" w:rsidP="00E63410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b/>
          <w:color w:val="000000" w:themeColor="text1"/>
          <w:sz w:val="24"/>
          <w:szCs w:val="24"/>
        </w:rPr>
        <w:t>OBSZAR TEMATYCZNY 2. KAPITAŁ LUDZKI I SPOŁECZNY</w:t>
      </w:r>
    </w:p>
    <w:p w14:paraId="3A336C88" w14:textId="77777777" w:rsidR="00E63410" w:rsidRPr="00E63410" w:rsidRDefault="00E63410" w:rsidP="00E634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>Priorytet 2.1. Edukacja</w:t>
      </w:r>
    </w:p>
    <w:p w14:paraId="61D76F9A" w14:textId="77777777" w:rsidR="00E63410" w:rsidRPr="00E63410" w:rsidRDefault="00E63410" w:rsidP="00E63410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 xml:space="preserve">W przedmiotowy Priorytet wpisuje się Priorytet II.1 </w:t>
      </w:r>
      <w:r w:rsidRPr="00E63410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E6341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0E14AC1" w14:textId="77777777" w:rsidR="00E63410" w:rsidRPr="00E63410" w:rsidRDefault="00E63410" w:rsidP="00E634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lastRenderedPageBreak/>
        <w:t>Priorytet 2.2. Regionalna polityka zdrowotna</w:t>
      </w:r>
    </w:p>
    <w:p w14:paraId="7DFD7F7D" w14:textId="77777777" w:rsidR="00E63410" w:rsidRPr="00E63410" w:rsidRDefault="00E63410" w:rsidP="00E63410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 xml:space="preserve">W przedmiotowy Priorytet wpisuje się Priorytet II.2 </w:t>
      </w:r>
      <w:r w:rsidRPr="00E63410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E6341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110D327" w14:textId="77777777" w:rsidR="00E63410" w:rsidRPr="00E63410" w:rsidRDefault="00E63410" w:rsidP="00E634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>Priorytet 2.3. Kultura i dziedzictwo kulturowe</w:t>
      </w:r>
    </w:p>
    <w:p w14:paraId="7D8132A4" w14:textId="77777777" w:rsidR="00E63410" w:rsidRPr="00E63410" w:rsidRDefault="00E63410" w:rsidP="00E63410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 xml:space="preserve">W przedmiotowy Priorytet wpisuje się Priorytet II.3 </w:t>
      </w:r>
      <w:r w:rsidRPr="00E63410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E6341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080B59D" w14:textId="77777777" w:rsidR="00E63410" w:rsidRPr="00E63410" w:rsidRDefault="00E63410" w:rsidP="00E634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4" w:name="_Hlk125526373"/>
      <w:r w:rsidRPr="00E63410">
        <w:rPr>
          <w:rFonts w:ascii="Arial" w:hAnsi="Arial" w:cs="Arial"/>
          <w:color w:val="000000" w:themeColor="text1"/>
          <w:sz w:val="24"/>
          <w:szCs w:val="24"/>
        </w:rPr>
        <w:t>Priorytet 2.4. Rynek pracy</w:t>
      </w:r>
    </w:p>
    <w:p w14:paraId="44C42CF7" w14:textId="77777777" w:rsidR="00E63410" w:rsidRPr="00E63410" w:rsidRDefault="00E63410" w:rsidP="00E63410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 xml:space="preserve">W przedmiotowy Priorytet wpisuje się Priorytet I.1 </w:t>
      </w:r>
      <w:r w:rsidRPr="00E63410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E6341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4FDCCE8" w14:textId="77777777" w:rsidR="00E63410" w:rsidRPr="00E63410" w:rsidRDefault="00E63410" w:rsidP="00E634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>Priorytet 2.5. Społeczeństwo obywatelskie i kapitał społeczny</w:t>
      </w:r>
    </w:p>
    <w:p w14:paraId="07AABD92" w14:textId="77777777" w:rsidR="00E63410" w:rsidRPr="00E63410" w:rsidRDefault="00E63410" w:rsidP="00E63410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 xml:space="preserve">W przedmiotowy Priorytet wpisuje się Priorytet II.4 </w:t>
      </w:r>
      <w:r w:rsidRPr="00E63410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E6341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C3742FC" w14:textId="77777777" w:rsidR="00E63410" w:rsidRPr="00E63410" w:rsidRDefault="00E63410" w:rsidP="00E634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>Priorytet 2.6. Włączenie społeczne</w:t>
      </w:r>
    </w:p>
    <w:p w14:paraId="2F11992F" w14:textId="77777777" w:rsidR="00E63410" w:rsidRPr="00E63410" w:rsidRDefault="00E63410" w:rsidP="00E63410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 xml:space="preserve">W przedmiotowy Priorytet wpisują się Priorytety II.3 oraz II.4 </w:t>
      </w:r>
      <w:r w:rsidRPr="00E63410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E63410">
        <w:rPr>
          <w:rFonts w:ascii="Arial" w:hAnsi="Arial" w:cs="Arial"/>
          <w:color w:val="000000" w:themeColor="text1"/>
          <w:sz w:val="24"/>
          <w:szCs w:val="24"/>
        </w:rPr>
        <w:t>.</w:t>
      </w:r>
    </w:p>
    <w:bookmarkEnd w:id="14"/>
    <w:p w14:paraId="512E7F88" w14:textId="77777777" w:rsidR="00E63410" w:rsidRPr="00E63410" w:rsidRDefault="00E63410" w:rsidP="00E634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>Priorytet 2.7. Aktywny styl życia i sport</w:t>
      </w:r>
    </w:p>
    <w:p w14:paraId="7FDF6DFA" w14:textId="77777777" w:rsidR="00E63410" w:rsidRPr="00E63410" w:rsidRDefault="00E63410" w:rsidP="00E63410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 xml:space="preserve">W przedmiotowy Priorytet wpisuje się Priorytet II.5 </w:t>
      </w:r>
      <w:r w:rsidRPr="00E63410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E6341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98B0D67" w14:textId="77777777" w:rsidR="00E63410" w:rsidRPr="00E63410" w:rsidRDefault="00E63410" w:rsidP="00E63410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268DEC61" w14:textId="77777777" w:rsidR="00E63410" w:rsidRPr="00E63410" w:rsidRDefault="00E63410" w:rsidP="00E634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>Priorytet 3.1. Bezpieczeństwo energetyczne i OZE</w:t>
      </w:r>
    </w:p>
    <w:p w14:paraId="2DB2156A" w14:textId="77777777" w:rsidR="00E63410" w:rsidRPr="00E63410" w:rsidRDefault="00E63410" w:rsidP="00E63410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 xml:space="preserve">W przedmiotowy Priorytet wpisuje się Priorytet III.2 </w:t>
      </w:r>
      <w:r w:rsidRPr="00E63410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E6341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3EC449F" w14:textId="77777777" w:rsidR="00E63410" w:rsidRPr="00E63410" w:rsidRDefault="00E63410" w:rsidP="00E634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>Priorytet 3.3. Poprawa dostępności komunikacyjnej wewnątrz regionu oraz rozwój transportu publicznego</w:t>
      </w:r>
    </w:p>
    <w:p w14:paraId="3A115BAF" w14:textId="77777777" w:rsidR="00E63410" w:rsidRPr="00E63410" w:rsidRDefault="00E63410" w:rsidP="00E63410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 xml:space="preserve">W przedmiotowy Priorytet wpisują się Priorytety III.1 oraz IV.2 </w:t>
      </w:r>
      <w:r w:rsidRPr="00E63410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E6341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6F70CD5" w14:textId="77777777" w:rsidR="00E63410" w:rsidRPr="00E63410" w:rsidRDefault="00E63410" w:rsidP="00E634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>Priorytet 3.4. Rozwój infrastruktury informacyjno-komunikacyjnej w regionie</w:t>
      </w:r>
    </w:p>
    <w:p w14:paraId="0EB4336E" w14:textId="77777777" w:rsidR="00E63410" w:rsidRPr="00E63410" w:rsidRDefault="00E63410" w:rsidP="00E63410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 xml:space="preserve">W przedmiotowy Priorytet wpisuje się Priorytet IV.3 </w:t>
      </w:r>
      <w:r w:rsidRPr="00E63410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E6341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225B397" w14:textId="77777777" w:rsidR="00E63410" w:rsidRPr="00E63410" w:rsidRDefault="00E63410" w:rsidP="00E634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>Priorytet 3.5. Rozwój infrastruktury służącej prowadzeniu działalności gospodarczej i turystyki</w:t>
      </w:r>
    </w:p>
    <w:p w14:paraId="6B677D45" w14:textId="77777777" w:rsidR="00E63410" w:rsidRPr="00E63410" w:rsidRDefault="00E63410" w:rsidP="00E63410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5" w:name="_Hlk117161701"/>
      <w:r w:rsidRPr="00E63410">
        <w:rPr>
          <w:rFonts w:ascii="Arial" w:hAnsi="Arial" w:cs="Arial"/>
          <w:color w:val="000000" w:themeColor="text1"/>
          <w:sz w:val="24"/>
          <w:szCs w:val="24"/>
        </w:rPr>
        <w:t xml:space="preserve">W przedmiotowy Priorytet wpisują się Priorytety I.1 oraz I.2 </w:t>
      </w:r>
      <w:r w:rsidRPr="00E63410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E63410">
        <w:rPr>
          <w:rFonts w:ascii="Arial" w:hAnsi="Arial" w:cs="Arial"/>
          <w:color w:val="000000" w:themeColor="text1"/>
          <w:sz w:val="24"/>
          <w:szCs w:val="24"/>
        </w:rPr>
        <w:t>.</w:t>
      </w:r>
    </w:p>
    <w:bookmarkEnd w:id="15"/>
    <w:p w14:paraId="7C3DC2F6" w14:textId="77777777" w:rsidR="00E63410" w:rsidRPr="00E63410" w:rsidRDefault="00E63410" w:rsidP="00E63410">
      <w:pPr>
        <w:spacing w:after="120" w:line="276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>Priorytet 3.6. Przeciwdziałanie i minimalizowanie skutków zagrożeń wywołanych czynnikami naturalnymi</w:t>
      </w:r>
    </w:p>
    <w:p w14:paraId="686D6428" w14:textId="77777777" w:rsidR="00E63410" w:rsidRPr="00E63410" w:rsidRDefault="00E63410" w:rsidP="00E63410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 xml:space="preserve">W przedmiotowy Priorytet wpisuje się Priorytet III.4 </w:t>
      </w:r>
      <w:r w:rsidRPr="00E63410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E6341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7A8380F" w14:textId="77777777" w:rsidR="00E63410" w:rsidRPr="00E63410" w:rsidRDefault="00E63410" w:rsidP="00E634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1B7B7603" w14:textId="77777777" w:rsidR="00E63410" w:rsidRPr="00E63410" w:rsidRDefault="00E63410" w:rsidP="00E63410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 xml:space="preserve">W przedmiotowy Priorytet wpisuje się Priorytet III.3 </w:t>
      </w:r>
      <w:r w:rsidRPr="00E63410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E6341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A6B0D68" w14:textId="77777777" w:rsidR="00E63410" w:rsidRPr="00E63410" w:rsidRDefault="00E63410" w:rsidP="00E634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>Priorytet 3.8. Zarządzanie zasobami dziedzictwa przyrodniczego, w tym ochrona i poprawianie stanu różnorodności biologicznej i krajobrazu</w:t>
      </w:r>
    </w:p>
    <w:p w14:paraId="27EE3117" w14:textId="77777777" w:rsidR="00E63410" w:rsidRPr="00E63410" w:rsidRDefault="00E63410" w:rsidP="00E63410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 xml:space="preserve">W przedmiotowy Priorytet wpisuje się Priorytet III.4 </w:t>
      </w:r>
      <w:r w:rsidRPr="00E63410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E6341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7DDFED1" w14:textId="77777777" w:rsidR="00E63410" w:rsidRPr="00E63410" w:rsidRDefault="00E63410" w:rsidP="00E63410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b/>
          <w:color w:val="000000" w:themeColor="text1"/>
          <w:sz w:val="24"/>
          <w:szCs w:val="24"/>
        </w:rPr>
        <w:t>OBSZAR TEMATYCZNY 4. DOSTĘPNOŚĆ USŁUG</w:t>
      </w:r>
    </w:p>
    <w:p w14:paraId="1A85925C" w14:textId="77777777" w:rsidR="00E63410" w:rsidRPr="00E63410" w:rsidRDefault="00E63410" w:rsidP="00E634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>Priorytet 4.1. Poprawa dostępności do usług publicznych poprzez wykorzystanie technologii informacyjno-komunikacyjnych</w:t>
      </w:r>
    </w:p>
    <w:p w14:paraId="114CA5C5" w14:textId="77777777" w:rsidR="00E63410" w:rsidRPr="00E63410" w:rsidRDefault="00E63410" w:rsidP="00E63410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 xml:space="preserve">W przedmiotowy Priorytet wpisują się Priorytety II.3 oraz IV.3 </w:t>
      </w:r>
      <w:r w:rsidRPr="00E63410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E6341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48041F2" w14:textId="77777777" w:rsidR="00E63410" w:rsidRPr="00E63410" w:rsidRDefault="00E63410" w:rsidP="00E634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>Priorytet 4.2. Planowanie przestrzenne wspierające aktywizację społeczności i aktywizacja obszarów zdegradowanych</w:t>
      </w:r>
    </w:p>
    <w:p w14:paraId="076EB06B" w14:textId="77777777" w:rsidR="00E63410" w:rsidRPr="00E63410" w:rsidRDefault="00E63410" w:rsidP="00E63410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6" w:name="_Hlk115090079"/>
      <w:r w:rsidRPr="00E63410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W przedmiotowy Priorytet wpisuje się Priorytet IV.1 </w:t>
      </w:r>
      <w:r w:rsidRPr="00E63410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E63410">
        <w:rPr>
          <w:rFonts w:ascii="Arial" w:hAnsi="Arial" w:cs="Arial"/>
          <w:color w:val="000000" w:themeColor="text1"/>
          <w:sz w:val="24"/>
          <w:szCs w:val="24"/>
        </w:rPr>
        <w:t>.</w:t>
      </w:r>
    </w:p>
    <w:bookmarkEnd w:id="16"/>
    <w:p w14:paraId="3C72A1A2" w14:textId="77777777" w:rsidR="00E63410" w:rsidRPr="00E63410" w:rsidRDefault="00E63410" w:rsidP="00E634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>Priorytet 4.3. Wsparcie instytucjonalne i poprawa bezpieczeństwa mieszkańców</w:t>
      </w:r>
    </w:p>
    <w:p w14:paraId="14AF9680" w14:textId="77777777" w:rsidR="00E63410" w:rsidRPr="00E63410" w:rsidRDefault="00E63410" w:rsidP="00E63410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 xml:space="preserve">W przedmiotowy Priorytet wpisuje się Priorytet IV.2 </w:t>
      </w:r>
      <w:r w:rsidRPr="00E63410">
        <w:rPr>
          <w:rFonts w:ascii="Arial" w:hAnsi="Arial" w:cs="Arial"/>
          <w:i/>
          <w:color w:val="000000" w:themeColor="text1"/>
          <w:sz w:val="24"/>
          <w:szCs w:val="24"/>
        </w:rPr>
        <w:t>SRG</w:t>
      </w:r>
      <w:r w:rsidRPr="00E6341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F2D6D64" w14:textId="77777777" w:rsidR="00E63410" w:rsidRPr="00E63410" w:rsidRDefault="00E63410" w:rsidP="00E63410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7CCA5457" w14:textId="77777777" w:rsidR="00E63410" w:rsidRPr="00E63410" w:rsidRDefault="00E63410" w:rsidP="00E634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>Priorytet 7.1. Wykorzystanie policentrycznego miejskiego układu osadniczego</w:t>
      </w:r>
    </w:p>
    <w:p w14:paraId="79128497" w14:textId="77777777" w:rsidR="00E63410" w:rsidRPr="00E63410" w:rsidRDefault="00E63410" w:rsidP="00E63410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>Priorytet 7.3. Obszary wymagające szczególnego wsparcia w kontekście równoważenia rozwoju</w:t>
      </w:r>
    </w:p>
    <w:p w14:paraId="56757FC7" w14:textId="77777777" w:rsidR="00E63410" w:rsidRDefault="00E63410" w:rsidP="00E63410">
      <w:pPr>
        <w:spacing w:after="12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63410">
        <w:rPr>
          <w:rFonts w:ascii="Arial" w:hAnsi="Arial" w:cs="Arial"/>
          <w:color w:val="000000" w:themeColor="text1"/>
          <w:sz w:val="24"/>
          <w:szCs w:val="24"/>
        </w:rPr>
        <w:t>Priorytet 7.4. Obszary wiejskie – wysoka jakość przestrzeni do zamieszkania, pracy i wypoczynku</w:t>
      </w:r>
    </w:p>
    <w:p w14:paraId="74B3D6EC" w14:textId="77777777" w:rsidR="00E63410" w:rsidRDefault="00E63410" w:rsidP="00160A0E">
      <w:pPr>
        <w:spacing w:before="240"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17" w:name="_Hlk109727219"/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Projektodawca uwzględnił rekomendacje wskazane w uchwale</w:t>
      </w:r>
      <w:r w:rsidRPr="00E63410">
        <w:rPr>
          <w:rFonts w:ascii="Calibri" w:eastAsia="Calibri" w:hAnsi="Calibri" w:cs="Times New Roman"/>
        </w:rPr>
        <w:t xml:space="preserve"> </w:t>
      </w: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Zarządu Województwa Podkarpackiego Nr 46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</w:t>
      </w: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/9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602</w:t>
      </w: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/23 z dnia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</w:t>
      </w: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lutego 2023 r. </w:t>
      </w:r>
    </w:p>
    <w:p w14:paraId="32490F93" w14:textId="77777777" w:rsidR="00160A0E" w:rsidRDefault="00160A0E" w:rsidP="00160A0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Przedłożona do zaopiniowania 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została zweryfikowana zgodnie z zakresem art. 10f ust. 2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., a także przeanalizowana z punktu widzenia elementów o których mowa w art. 10e ust. 3 i 4 </w:t>
      </w:r>
      <w:proofErr w:type="spellStart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Zgodnie z przywołaną regulacją, strategia rozwoju gminy powinna zawierać m.in. wnioski z diagnozy, cele strategiczne rozwoju w wymiarze 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w zakresie kształtowania i prowadzenia polityki przestrzennej w gminie, obszary strategicznej interwencji określone w strategii rozwoju województwa wraz z zakresem planowanych działań, obszary strategicznej interwencji kluczowe dla gminy, jeżeli takie zidentyfikowano, wraz z zakresem planowanych działań, system realizacji strategii, w tym wytyczne do sporządzania dokumentów wykonawczych oraz ramy finansowe i źródła finansowania. Przedłożony do zaopiniowania dokument SRG zawiera ww. elementy.</w:t>
      </w:r>
    </w:p>
    <w:p w14:paraId="37E74D59" w14:textId="77777777" w:rsidR="00E63410" w:rsidRPr="00E63410" w:rsidRDefault="00E63410" w:rsidP="00E63410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Przeprowadzona analiza </w:t>
      </w:r>
      <w:r w:rsidRPr="00E6341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pod kątem sposobu uwzględnienia ustaleń i rekomendacji w zakresie kształtowania i prowadzenia polityki przestrzennej w województwie potwierdziła zgodność z zapisami </w:t>
      </w:r>
      <w:r w:rsidRPr="00E6341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Pr="00E634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F8F2C18" w14:textId="77777777" w:rsidR="00E63410" w:rsidRPr="00E63410" w:rsidRDefault="00E63410" w:rsidP="00E63410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E634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Mając na uwadze powyższe, na podstawie art. 41 ust. 1 ustawy z dnia 5 czerwca 1998 r. </w:t>
      </w:r>
      <w:r w:rsidRPr="00E634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 samorządzie województwa</w:t>
      </w:r>
      <w:r w:rsidRPr="00E634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Pr="00E63410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Pr="00E634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Dz. U. z 2022 r. poz. 2094) w związku z art. 10f ust. 2 i 3 </w:t>
      </w:r>
      <w:proofErr w:type="spellStart"/>
      <w:r w:rsidRPr="00E63410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Pr="00E63410">
        <w:rPr>
          <w:rFonts w:ascii="Arial" w:eastAsia="Times New Roman" w:hAnsi="Arial" w:cs="Arial"/>
          <w:color w:val="000000" w:themeColor="text1"/>
          <w:sz w:val="24"/>
          <w:szCs w:val="24"/>
        </w:rPr>
        <w:t>., Zarząd Województwa Podkarpackiego postanawia pozytywnie zaopiniować projekt</w:t>
      </w:r>
      <w:r w:rsidRPr="00E634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Strategii Rozwoju Gminy 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</w:rPr>
        <w:t>Dukla</w:t>
      </w:r>
      <w:r w:rsidRPr="00E634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na lata 202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</w:rPr>
        <w:t>3</w:t>
      </w:r>
      <w:r w:rsidRPr="00E634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-2030 </w:t>
      </w:r>
      <w:r w:rsidRPr="00E6341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Pr="00E634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Pr="00E634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uwzględnienia w nim ustaleń i rekomendacji dotyczących kształtowania i prowadzenia polityki przestrzennej w województwie określonych w </w:t>
      </w:r>
      <w:r w:rsidRPr="00E634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SRWP 2030.</w:t>
      </w:r>
    </w:p>
    <w:p w14:paraId="729B699C" w14:textId="7F8A1B64" w:rsidR="00E63410" w:rsidRPr="00E63410" w:rsidRDefault="00E63410" w:rsidP="00E63410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</w:p>
    <w:bookmarkEnd w:id="17"/>
    <w:sectPr w:rsidR="00E63410" w:rsidRPr="00E63410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10"/>
    <w:rsid w:val="000D4490"/>
    <w:rsid w:val="00160A0E"/>
    <w:rsid w:val="002E7D30"/>
    <w:rsid w:val="0049736A"/>
    <w:rsid w:val="005349D2"/>
    <w:rsid w:val="006C6FCE"/>
    <w:rsid w:val="007156B2"/>
    <w:rsid w:val="00BD1F11"/>
    <w:rsid w:val="00E6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5B4A5"/>
  <w15:chartTrackingRefBased/>
  <w15:docId w15:val="{42AC34C0-C72F-41EE-B891-884E15E53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E7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7D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0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1137</Words>
  <Characters>6824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490_10203_23</dc:title>
  <dc:subject/>
  <dc:creator>Kiełbasa Anna</dc:creator>
  <cp:keywords/>
  <dc:description/>
  <cp:lastModifiedBy>.</cp:lastModifiedBy>
  <cp:revision>5</cp:revision>
  <cp:lastPrinted>2023-05-23T10:22:00Z</cp:lastPrinted>
  <dcterms:created xsi:type="dcterms:W3CDTF">2023-05-12T13:01:00Z</dcterms:created>
  <dcterms:modified xsi:type="dcterms:W3CDTF">2023-05-30T07:19:00Z</dcterms:modified>
</cp:coreProperties>
</file>