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F2909" w14:textId="7F95ACE2" w:rsidR="009A3F8C" w:rsidRPr="004D3A32" w:rsidRDefault="00460261" w:rsidP="000D58B1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31765307"/>
      <w:bookmarkStart w:id="2" w:name="_Hlk112400755"/>
      <w:r w:rsidRPr="0046026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53</w:t>
      </w:r>
      <w:r w:rsidRPr="0046026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66D3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11732</w:t>
      </w:r>
      <w:r w:rsidRPr="0046026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6026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6026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6026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602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 grudnia</w:t>
      </w:r>
      <w:r w:rsidRPr="004602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  <w:r w:rsidR="004D3A32" w:rsidRPr="004D3A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1"/>
      <w:r w:rsidR="009A3F8C"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bookmarkEnd w:id="2"/>
      <w:r w:rsidR="000B739D" w:rsidRPr="000B739D">
        <w:rPr>
          <w:rFonts w:ascii="Arial" w:eastAsia="Times New Roman" w:hAnsi="Arial" w:cs="Arial"/>
          <w:b/>
          <w:sz w:val="24"/>
          <w:szCs w:val="24"/>
          <w:lang w:eastAsia="ar-SA"/>
        </w:rPr>
        <w:t>w sprawie zaopiniowania projektu Strategii Rozwoju Gminy i Miasta Rudnik nad Sanem na lata 2023-2030</w:t>
      </w:r>
    </w:p>
    <w:p w14:paraId="14F5F01A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08C0E8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2023 r. poz. 40 ze zm.)</w:t>
      </w:r>
    </w:p>
    <w:p w14:paraId="7CDD453E" w14:textId="77777777" w:rsidR="009A3F8C" w:rsidRPr="006412F3" w:rsidRDefault="009A3F8C" w:rsidP="009A3F8C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FB647DE" w14:textId="77777777" w:rsidR="009A3F8C" w:rsidRPr="006412F3" w:rsidRDefault="009A3F8C" w:rsidP="009A3F8C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EF002AA" w14:textId="77777777" w:rsidR="009A3F8C" w:rsidRPr="006412F3" w:rsidRDefault="009A3F8C" w:rsidP="009A3F8C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8A306A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1422449" w14:textId="26ABB4DB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0B739D" w:rsidRPr="000B739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i Miasta Rudnik nad Sanem </w:t>
      </w:r>
      <w:r w:rsidR="000B739D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0B739D" w:rsidRPr="000B739D">
        <w:rPr>
          <w:rFonts w:ascii="Arial" w:eastAsia="Times New Roman" w:hAnsi="Arial" w:cs="Arial"/>
          <w:i/>
          <w:sz w:val="24"/>
          <w:szCs w:val="24"/>
          <w:lang w:eastAsia="ar-SA"/>
        </w:rPr>
        <w:t>na lata 2023-2030</w:t>
      </w:r>
      <w:r w:rsidR="000B739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176B74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260C49A" w14:textId="77777777" w:rsidR="009A3F8C" w:rsidRPr="006412F3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5632430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76FF505" w14:textId="77777777" w:rsidR="009A3F8C" w:rsidRPr="006412F3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D178168" w14:textId="77777777" w:rsidR="009A3F8C" w:rsidRPr="006412F3" w:rsidRDefault="009A3F8C" w:rsidP="009A3F8C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E27F7CF" w14:textId="77777777" w:rsidR="009A3F8C" w:rsidRDefault="009A3F8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0E1B3C8" w14:textId="77777777" w:rsidR="00EC46BC" w:rsidRDefault="00EC46B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998A75E" w14:textId="77777777" w:rsidR="00EC46BC" w:rsidRPr="00A16FE3" w:rsidRDefault="00EC46BC" w:rsidP="00EC46BC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0599080" w14:textId="77777777" w:rsidR="00EC46BC" w:rsidRPr="00A16FE3" w:rsidRDefault="00EC46BC" w:rsidP="00EC46BC">
      <w:pPr>
        <w:spacing w:after="0"/>
        <w:rPr>
          <w:rFonts w:ascii="Arial" w:eastAsiaTheme="minorEastAsia" w:hAnsi="Arial" w:cs="Arial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4F18668" w14:textId="77777777" w:rsidR="00EC46BC" w:rsidRDefault="00EC46BC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53C4930" w14:textId="77777777" w:rsidR="0039505A" w:rsidRDefault="0039505A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9CC3C49" w14:textId="77777777" w:rsidR="0039505A" w:rsidRPr="006412F3" w:rsidRDefault="0039505A" w:rsidP="009A3F8C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9505A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D9708DC" w14:textId="6AA99134" w:rsidR="00460261" w:rsidRPr="00460261" w:rsidRDefault="00460261" w:rsidP="0046026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53</w:t>
      </w:r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A66D3E">
        <w:rPr>
          <w:rFonts w:ascii="Arial" w:eastAsia="Times New Roman" w:hAnsi="Arial" w:cs="Arial"/>
          <w:bCs/>
          <w:sz w:val="24"/>
          <w:szCs w:val="24"/>
          <w:lang w:eastAsia="pl-PL"/>
        </w:rPr>
        <w:t>11732</w:t>
      </w:r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63BC35B" w14:textId="77777777" w:rsidR="00460261" w:rsidRPr="00460261" w:rsidRDefault="00460261" w:rsidP="0046026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DC22EF5" w14:textId="77777777" w:rsidR="00460261" w:rsidRPr="00460261" w:rsidRDefault="00460261" w:rsidP="0046026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D904FFC" w14:textId="0EA2ADE5" w:rsidR="00460261" w:rsidRPr="00460261" w:rsidRDefault="00460261" w:rsidP="0046026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7 grudnia</w:t>
      </w:r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460261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46026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4A38E2E7" w14:textId="77777777" w:rsidR="00D704F9" w:rsidRDefault="00D704F9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E83E5E1" w14:textId="77777777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516E69E" w14:textId="73380388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(t.j. Dz. U. z 2023 r. poz. 40 ze zm., dalej u.s.g.) opracowany przez wójta projekt strategii rozwoju gminy przedkładany jest </w:t>
      </w:r>
      <w:r w:rsidR="000D58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0D58B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 strategii rozwoju województwa.</w:t>
      </w:r>
    </w:p>
    <w:p w14:paraId="6A9A1B3B" w14:textId="38CC285F" w:rsidR="009A3F8C" w:rsidRPr="006412F3" w:rsidRDefault="009A3F8C" w:rsidP="009A3F8C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0B73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0B73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542CB2A6" w14:textId="4DADCD57" w:rsidR="005A20C7" w:rsidRPr="005A20C7" w:rsidRDefault="000B739D" w:rsidP="005A20C7">
      <w:pPr>
        <w:suppressAutoHyphens/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0B73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znak: ZPF.060.7.2023 z dnia 1 września 2023 r., Pan Waldemar Grochowski - Burmistrz Gminy i Miasta Rudnik nad Sanem, wystąpił o zaopiniowanie projektu </w:t>
      </w:r>
      <w:r w:rsidRPr="00B14980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i Miasta Rudnik nad Sanem na lata 2023-2030</w:t>
      </w:r>
      <w:r w:rsidRPr="000B73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 </w:t>
      </w:r>
      <w:r w:rsidR="005A20C7"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Uchwałą nr 5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</w:t>
      </w:r>
      <w:r w:rsidR="005A20C7"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/1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1070</w:t>
      </w:r>
      <w:r w:rsidR="005A20C7"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/23 z dnia </w:t>
      </w:r>
      <w:r w:rsid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6 września</w:t>
      </w:r>
      <w:r w:rsidR="005A20C7"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r., Zarząd Województwa Podkarpackiego wydał negatywną opinię dla przedłożonego wówczas projektu strategii. </w:t>
      </w:r>
    </w:p>
    <w:p w14:paraId="232F4DFF" w14:textId="4CE023CD" w:rsidR="005A20C7" w:rsidRDefault="005A20C7" w:rsidP="005A20C7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pismem </w:t>
      </w:r>
      <w:r w:rsidR="00C563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ZPF.060.8.2023 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 dnia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C563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6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.12.2023 r. 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C563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Dariusz Śliwa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</w:t>
      </w:r>
      <w:r w:rsidR="00C563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Zastępca Burmistrza Gminy i Miasta Rudnik nad Sanem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zwrócił się </w:t>
      </w:r>
      <w:r w:rsidR="00DC4B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prośbą o ponowne zaopiniowanie projektu </w:t>
      </w:r>
      <w:r w:rsidR="00C56315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C56315">
        <w:rPr>
          <w:rFonts w:ascii="Arial" w:eastAsia="Times New Roman" w:hAnsi="Arial" w:cs="Arial"/>
          <w:i/>
          <w:sz w:val="24"/>
          <w:szCs w:val="24"/>
          <w:lang w:eastAsia="ar-SA"/>
        </w:rPr>
        <w:t>i Miasta Rudnik nad Sanem na lata 2023-2030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Przedmiotowe pismo wpłynęło do Urzędu Marszałkowskiego Województwa Podkarpackiego w dniu </w:t>
      </w:r>
      <w:r w:rsidR="00C563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grudnia </w:t>
      </w:r>
      <w:r w:rsidRPr="005A20C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 r.</w:t>
      </w:r>
    </w:p>
    <w:p w14:paraId="4A015A05" w14:textId="379EEDD8" w:rsidR="009A3F8C" w:rsidRPr="006412F3" w:rsidRDefault="009A3F8C" w:rsidP="009A3F8C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="00C56315" w:rsidRPr="00C5631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Gminy i Miasta Rudnik nad Sanem na lata 2023-2030</w:t>
      </w:r>
      <w:r w:rsidR="00DC4B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B70CB1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9E4EA4">
        <w:rPr>
          <w:rFonts w:ascii="Arial" w:eastAsia="Times New Roman" w:hAnsi="Arial" w:cs="Arial"/>
          <w:sz w:val="24"/>
          <w:szCs w:val="24"/>
          <w:lang w:eastAsia="ar-SA"/>
        </w:rPr>
        <w:t>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</w:t>
      </w:r>
      <w:r w:rsidR="00B70CB1">
        <w:rPr>
          <w:rFonts w:ascii="Arial" w:eastAsia="Times New Roman" w:hAnsi="Arial" w:cs="Arial"/>
          <w:sz w:val="24"/>
          <w:szCs w:val="24"/>
          <w:lang w:eastAsia="pl-PL"/>
        </w:rPr>
        <w:t>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365A265" w14:textId="77777777" w:rsidR="00D704F9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D13B470" w14:textId="77777777" w:rsidR="00D704F9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7FE0BEC" w14:textId="77777777" w:rsidR="00D704F9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2EB0B41" w14:textId="77777777" w:rsidR="00D704F9" w:rsidRPr="006412F3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1. GOSPODARKA I NAUKA</w:t>
      </w:r>
    </w:p>
    <w:p w14:paraId="2E1B7C61" w14:textId="77777777" w:rsidR="00D704F9" w:rsidRPr="006412F3" w:rsidRDefault="00D704F9" w:rsidP="00D704F9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F7F5ED1" w14:textId="4CA2FFDE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1, 2, 3, 4, 5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04656001" w14:textId="77777777" w:rsidR="00D704F9" w:rsidRPr="00AF4259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4259">
        <w:rPr>
          <w:rFonts w:ascii="Arial" w:eastAsia="Times New Roman" w:hAnsi="Arial" w:cs="Arial"/>
          <w:sz w:val="24"/>
          <w:szCs w:val="24"/>
          <w:lang w:eastAsia="pl-PL"/>
        </w:rPr>
        <w:t>Priorytet 1.4. Gospodarka cyrkularna (Gospodarka obiegu zamkniętego)</w:t>
      </w:r>
    </w:p>
    <w:p w14:paraId="4020C561" w14:textId="5DE828AE" w:rsidR="00D704F9" w:rsidRPr="00AF4259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Pr="00AF4259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8 SRG.</w:t>
      </w:r>
    </w:p>
    <w:p w14:paraId="4440EADC" w14:textId="77777777" w:rsidR="00D704F9" w:rsidRPr="006412F3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97EE4D9" w14:textId="77777777" w:rsidR="00D704F9" w:rsidRPr="006412F3" w:rsidRDefault="00D704F9" w:rsidP="00D704F9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641E1406" w14:textId="1840D6B0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6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operacyjny:  12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70F3170C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38C824A4" w14:textId="574EA975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2, 4, 10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71327606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37E6CB34" w14:textId="2D6E15B2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 operacyjny: 1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2C0E49A8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3B2C7B9D" w14:textId="6F7AF21F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 operacyjny: 11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348EF7C0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6BC33FB0" w14:textId="699395D6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7, 9, 11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3C6F32F5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102A9C3" w14:textId="77777777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5, 11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E375FA1" w14:textId="77777777" w:rsidR="00D704F9" w:rsidRPr="006412F3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D5C6966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7D443396" w14:textId="7283CCB7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operacyjny: 8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3C7BF0E9" w14:textId="77777777" w:rsidR="00D704F9" w:rsidRPr="0042299B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79D5F860" w14:textId="329202B8" w:rsidR="00D704F9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1, 7, 9 SRG</w:t>
      </w:r>
    </w:p>
    <w:p w14:paraId="20A683FF" w14:textId="77777777" w:rsidR="00D704F9" w:rsidRPr="0042299B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Rozwój infrastruktury informacyjno-komunikacyjnej w regionie</w:t>
      </w:r>
    </w:p>
    <w:p w14:paraId="2F2290B3" w14:textId="37A08BDD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 SRG</w:t>
      </w:r>
    </w:p>
    <w:p w14:paraId="5C15EC4E" w14:textId="77777777" w:rsidR="00D704F9" w:rsidRPr="006412F3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0175EE7" w14:textId="627A0464" w:rsidR="00D704F9" w:rsidRDefault="00D704F9" w:rsidP="00D704F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1, 4, 5, 10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2BA09358" w14:textId="77777777" w:rsidR="00D704F9" w:rsidRPr="0042299B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4A415F20" w14:textId="7AB7AE24" w:rsidR="00D704F9" w:rsidRPr="006412F3" w:rsidRDefault="00D704F9" w:rsidP="00D704F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 wpisują się cele operacyjne: 7, 8 SRG</w:t>
      </w:r>
    </w:p>
    <w:p w14:paraId="48EB2564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0065435" w14:textId="72133AAE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6, 8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0DD937CB" w14:textId="77777777" w:rsidR="00D704F9" w:rsidRPr="006412F3" w:rsidRDefault="00D704F9" w:rsidP="00D704F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3.8. Zarządzanie zasobami dziedzictwa przyrodniczego, w tym ochrona i poprawianie stanu różnorodności biologicznej i krajobrazu</w:t>
      </w:r>
    </w:p>
    <w:p w14:paraId="613E259C" w14:textId="77777777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8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835C861" w14:textId="77777777" w:rsidR="00D704F9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ADC036D" w14:textId="03B56CC6" w:rsidR="00D704F9" w:rsidRPr="001F04BF" w:rsidRDefault="00D704F9" w:rsidP="001F04BF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46F36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  <w:r w:rsidR="001F04BF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1F04B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46F3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Pr="001F04B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wpisuje się cel operacyjny:  7 SRG</w:t>
      </w:r>
    </w:p>
    <w:p w14:paraId="1EC01081" w14:textId="257C458A" w:rsidR="00D704F9" w:rsidRPr="0085439F" w:rsidRDefault="00D704F9" w:rsidP="001F04BF">
      <w:pPr>
        <w:suppressAutoHyphens/>
        <w:spacing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4945F6A6" w14:textId="3152DBC2" w:rsidR="00D704F9" w:rsidRDefault="00D704F9" w:rsidP="00D704F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ytet wpisuje się cel operacyjny:</w:t>
      </w:r>
      <w:r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 </w:t>
      </w:r>
      <w:r w:rsidR="001F04B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</w:t>
      </w:r>
    </w:p>
    <w:p w14:paraId="1C140EF8" w14:textId="77777777" w:rsidR="00D704F9" w:rsidRPr="006412F3" w:rsidRDefault="00D704F9" w:rsidP="00D704F9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488EF4FE" w14:textId="77777777" w:rsidR="00D704F9" w:rsidRPr="006412F3" w:rsidRDefault="00D704F9" w:rsidP="00D704F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7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F599741" w14:textId="77777777" w:rsidR="00D704F9" w:rsidRPr="006412F3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B0C706F" w14:textId="77777777" w:rsidR="00D704F9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4742014E" w14:textId="77777777" w:rsidR="00D704F9" w:rsidRPr="006412F3" w:rsidRDefault="00D704F9" w:rsidP="00D704F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141D6641" w14:textId="64B7486B" w:rsidR="009A3F8C" w:rsidRPr="006412F3" w:rsidRDefault="009A3F8C" w:rsidP="009A3F8C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bookmarkStart w:id="7" w:name="_Hlk153308973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projekcie </w:t>
      </w:r>
      <w:bookmarkEnd w:id="7"/>
      <w:r w:rsidR="001F04BF" w:rsidRPr="001F04B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i Miasta Rudnik nad Sanem na lata 2023-2030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sposób prawidłowy przyporządkowano zakładane z poziomu gminy cele operacyjne do priorytetów </w:t>
      </w:r>
      <w:r w:rsidRPr="00DC289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CD32E00" w14:textId="71BA6A0F" w:rsidR="00DC2890" w:rsidRPr="00DC2890" w:rsidRDefault="00DC2890" w:rsidP="00DC289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C2890">
        <w:rPr>
          <w:rFonts w:ascii="Arial" w:eastAsia="Times New Roman" w:hAnsi="Arial" w:cs="Arial"/>
          <w:sz w:val="24"/>
          <w:szCs w:val="24"/>
          <w:lang w:eastAsia="ar-SA"/>
        </w:rPr>
        <w:t xml:space="preserve">Przedłożony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projek</w:t>
      </w:r>
      <w:r>
        <w:rPr>
          <w:rFonts w:ascii="Arial" w:eastAsia="Times New Roman" w:hAnsi="Arial" w:cs="Arial"/>
          <w:sz w:val="24"/>
          <w:szCs w:val="24"/>
          <w:lang w:eastAsia="ar-SA"/>
        </w:rPr>
        <w:t>t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A199E" w:rsidRPr="001A199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i Miasta Rudnik nad Sanem na lata </w:t>
      </w:r>
      <w:r w:rsidR="001A199E">
        <w:rPr>
          <w:rFonts w:ascii="Arial" w:eastAsia="Times New Roman" w:hAnsi="Arial" w:cs="Arial"/>
          <w:i/>
          <w:iCs/>
          <w:sz w:val="24"/>
          <w:szCs w:val="24"/>
          <w:lang w:eastAsia="ar-SA"/>
        </w:rPr>
        <w:br/>
      </w:r>
      <w:r w:rsidR="001A199E" w:rsidRPr="001A199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2023-2030 </w:t>
      </w:r>
      <w:r w:rsidRPr="00DC289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Województwa Podkarpackiego nr </w:t>
      </w:r>
      <w:r w:rsidR="00B14980" w:rsidRPr="00B1498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527/11070/23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DC2890">
        <w:rPr>
          <w:rFonts w:ascii="Arial" w:eastAsia="Times New Roman" w:hAnsi="Arial" w:cs="Arial"/>
          <w:sz w:val="24"/>
          <w:szCs w:val="24"/>
          <w:lang w:eastAsia="ar-SA"/>
        </w:rPr>
        <w:t xml:space="preserve">z dnia </w:t>
      </w:r>
      <w:r w:rsidR="00B14980" w:rsidRPr="00B14980">
        <w:rPr>
          <w:rFonts w:ascii="Arial" w:eastAsia="Times New Roman" w:hAnsi="Arial" w:cs="Arial"/>
          <w:sz w:val="24"/>
          <w:szCs w:val="24"/>
          <w:lang w:eastAsia="ar-SA"/>
        </w:rPr>
        <w:t>26 września 2023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C2890">
        <w:rPr>
          <w:rFonts w:ascii="Arial" w:eastAsia="Times New Roman" w:hAnsi="Arial" w:cs="Arial"/>
          <w:sz w:val="24"/>
          <w:szCs w:val="24"/>
          <w:lang w:eastAsia="ar-SA"/>
        </w:rPr>
        <w:t>r.</w:t>
      </w:r>
    </w:p>
    <w:p w14:paraId="423C5A9B" w14:textId="4A7CD48E" w:rsidR="00F9469C" w:rsidRDefault="009A3F8C" w:rsidP="00F9469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</w:t>
      </w:r>
      <w:r w:rsidR="00B14980" w:rsidRPr="00B149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Gminy i M</w:t>
      </w:r>
      <w:r w:rsidR="00B149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iasta Rudnik nad Sanem na lata </w:t>
      </w:r>
      <w:r w:rsidR="00B14980" w:rsidRPr="00B149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</w:t>
      </w:r>
      <w:r w:rsidR="0056145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o których mowa </w:t>
      </w:r>
      <w:r w:rsidR="00561455" w:rsidRPr="009152E0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561455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>art. 10e ust. 3 </w:t>
      </w:r>
      <w:r w:rsidR="00175BD6">
        <w:rPr>
          <w:rFonts w:ascii="Arial" w:eastAsia="Times New Roman" w:hAnsi="Arial" w:cs="Arial"/>
          <w:sz w:val="24"/>
          <w:szCs w:val="24"/>
          <w:lang w:eastAsia="ar-SA"/>
        </w:rPr>
        <w:t xml:space="preserve">i 4 </w:t>
      </w:r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 xml:space="preserve">ustawy z dnia 8 marca 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 xml:space="preserve">1990 r. </w:t>
      </w:r>
      <w:r w:rsidR="00561455" w:rsidRPr="00B14980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="00561455" w:rsidRPr="0080430B"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2023 r. poz. 40 ze zm.)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 przywołaną regulacją, strategia rozwoju gminy powinna zawierać, m.in.: wnioski 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 diagnozy, cele strategiczne rozwoju w wymiarze społecznym, gospodarczym 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 zakresem planowanych działań, system realizacji strategii, w tym wytyczne do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sporządzania dokumentów wykonawczych oraz ramy finansowe i źródła finansowania.</w:t>
      </w:r>
      <w:r w:rsidR="00F9469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561455" w:rsidRPr="0056145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</w:t>
      </w:r>
      <w:r w:rsidR="00F9469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ment zawiera wskazane elementy.</w:t>
      </w:r>
    </w:p>
    <w:p w14:paraId="21DC87E8" w14:textId="39729290" w:rsidR="00F9469C" w:rsidRPr="00F9469C" w:rsidRDefault="00F9469C" w:rsidP="00F9469C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469C">
        <w:rPr>
          <w:rFonts w:ascii="Arial" w:eastAsia="Times New Roman" w:hAnsi="Arial" w:cs="Arial"/>
          <w:sz w:val="24"/>
          <w:szCs w:val="24"/>
          <w:lang w:eastAsia="ar-SA"/>
        </w:rPr>
        <w:t>Dodatkowo, SRG określa model struktury funkcjonalno-przestrzennej gminy w tym: system powiązań przyrodniczych, główne korytarze i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elementy sieci transportowych</w:t>
      </w:r>
      <w:r w:rsidRPr="00F9469C">
        <w:rPr>
          <w:rFonts w:ascii="Arial" w:eastAsia="Times New Roman" w:hAnsi="Arial" w:cs="Arial"/>
          <w:sz w:val="24"/>
          <w:szCs w:val="24"/>
          <w:lang w:eastAsia="ar-SA"/>
        </w:rPr>
        <w:t>, główne elementy infrastr</w:t>
      </w:r>
      <w:r>
        <w:rPr>
          <w:rFonts w:ascii="Arial" w:eastAsia="Times New Roman" w:hAnsi="Arial" w:cs="Arial"/>
          <w:sz w:val="24"/>
          <w:szCs w:val="24"/>
          <w:lang w:eastAsia="ar-SA"/>
        </w:rPr>
        <w:t>uktury technicznej</w:t>
      </w:r>
      <w:r w:rsidRPr="00F9469C">
        <w:rPr>
          <w:rFonts w:ascii="Arial" w:eastAsia="Times New Roman" w:hAnsi="Arial" w:cs="Arial"/>
          <w:sz w:val="24"/>
          <w:szCs w:val="24"/>
          <w:lang w:eastAsia="ar-SA"/>
        </w:rPr>
        <w:t xml:space="preserve"> oraz ustalenia i rekomendacje w zakresie kształtowania i prowadzenia polityki przestrzennej w gminie dotyczące: zasad ochrony środowiska i jego zasobów, w tym ochrony powietrza, przyrody i krajobrazu, zasad ochrony dziedzictwa kulturowego i zabytków oraz dóbr kultury współczesnej, kierunków zmian w strukturze zagospodarowania terenów, w tym określenia szczególnych potrzeb w zakresie nowej zabudowy mieszkaniowej, zasad lokalizacji obiektów handlu wielkopowierzchniowego w rozumieniu ustawy z dnia 27 marca </w:t>
      </w:r>
      <w:r w:rsidR="00002A45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F9469C">
        <w:rPr>
          <w:rFonts w:ascii="Arial" w:eastAsia="Times New Roman" w:hAnsi="Arial" w:cs="Arial"/>
          <w:sz w:val="24"/>
          <w:szCs w:val="24"/>
          <w:lang w:eastAsia="ar-SA"/>
        </w:rPr>
        <w:t xml:space="preserve">2003 r. </w:t>
      </w:r>
      <w:r w:rsidRPr="00F9469C">
        <w:rPr>
          <w:rFonts w:ascii="Arial" w:eastAsia="Times New Roman" w:hAnsi="Arial" w:cs="Arial"/>
          <w:i/>
          <w:sz w:val="24"/>
          <w:szCs w:val="24"/>
          <w:lang w:eastAsia="ar-SA"/>
        </w:rPr>
        <w:t>o planowaniu i zagospodarowaniu przestrzennym</w:t>
      </w:r>
      <w:r w:rsidRPr="00F9469C"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2023 r. poz. 977 ze zm.), zasad lokalizacji kluczowych inwestycji celu publicznego, kierunków rozwoju systemów komunikacji, infrastruktury technicznej i społecznej, zasad lokalizacji urządzeń wytwarzających energię o mocy zainstalowanej przekraczającej 500 kW, zasad lokalizacji przedsięwzięć mogących znacząco oddziaływać na środowisko, zasad kształtowania rolniczej i leśnej przestrzeni produkcyjnej, zasad kształtowania zagospodarowania przestrzennego na obszarach zdegradowanych i obszarach rewitalizacji oraz obszarach wymagających przekształceń, rehabilitacji, rekultywacji lub remediacji. </w:t>
      </w:r>
    </w:p>
    <w:p w14:paraId="7F68463B" w14:textId="524DAC8C" w:rsidR="00F9469C" w:rsidRDefault="00F9469C" w:rsidP="00C562B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r w:rsidR="00561455" w:rsidRPr="0056145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ednakże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561455" w:rsidRPr="0056145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61455" w:rsidRPr="00561455">
        <w:rPr>
          <w:rFonts w:ascii="Arial" w:eastAsia="Times New Roman" w:hAnsi="Arial" w:cs="Arial"/>
          <w:sz w:val="24"/>
          <w:szCs w:val="24"/>
          <w:lang w:eastAsia="ar-SA"/>
        </w:rPr>
        <w:t xml:space="preserve">rekomenduje się </w:t>
      </w:r>
      <w:r w:rsidR="00B14980" w:rsidRPr="00B14980">
        <w:rPr>
          <w:rFonts w:ascii="Arial" w:eastAsia="Times New Roman" w:hAnsi="Arial" w:cs="Arial"/>
          <w:sz w:val="24"/>
          <w:szCs w:val="24"/>
          <w:lang w:eastAsia="ar-SA"/>
        </w:rPr>
        <w:t>uzupełnienie modelu struktury funkcjonalno-przestrzennej o strukturę sieci osadniczej wraz z rolą i hierarchią jednostek osadniczych, główne elementy sieci transportowych pieszych i rowerowych</w:t>
      </w:r>
      <w:r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B14980" w:rsidRPr="00B14980">
        <w:rPr>
          <w:rFonts w:ascii="Arial" w:eastAsia="Times New Roman" w:hAnsi="Arial" w:cs="Arial"/>
          <w:sz w:val="24"/>
          <w:szCs w:val="24"/>
          <w:lang w:eastAsia="ar-SA"/>
        </w:rPr>
        <w:t xml:space="preserve"> jeśli t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t>akie występują na terenie gminy,</w:t>
      </w:r>
      <w:r w:rsidR="00B14980" w:rsidRPr="00B14980">
        <w:rPr>
          <w:rFonts w:ascii="Arial" w:eastAsia="Times New Roman" w:hAnsi="Arial" w:cs="Arial"/>
          <w:sz w:val="24"/>
          <w:szCs w:val="24"/>
          <w:lang w:eastAsia="ar-SA"/>
        </w:rPr>
        <w:t xml:space="preserve"> główne elementy infrastruktury społecznej</w:t>
      </w:r>
      <w:r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B14980" w:rsidRPr="00B14980">
        <w:rPr>
          <w:rFonts w:ascii="Arial" w:eastAsia="Times New Roman" w:hAnsi="Arial" w:cs="Arial"/>
          <w:sz w:val="24"/>
          <w:szCs w:val="24"/>
          <w:lang w:eastAsia="ar-SA"/>
        </w:rPr>
        <w:t xml:space="preserve"> jeśli ta</w:t>
      </w:r>
      <w:r w:rsidR="00B14980">
        <w:rPr>
          <w:rFonts w:ascii="Arial" w:eastAsia="Times New Roman" w:hAnsi="Arial" w:cs="Arial"/>
          <w:sz w:val="24"/>
          <w:szCs w:val="24"/>
          <w:lang w:eastAsia="ar-SA"/>
        </w:rPr>
        <w:t xml:space="preserve">kie występują na terenie </w:t>
      </w:r>
      <w:r w:rsidR="00B14980" w:rsidRPr="00A04917">
        <w:rPr>
          <w:rFonts w:ascii="Arial" w:eastAsia="Times New Roman" w:hAnsi="Arial" w:cs="Arial"/>
          <w:sz w:val="24"/>
          <w:szCs w:val="24"/>
          <w:lang w:eastAsia="ar-SA"/>
        </w:rPr>
        <w:t>gminy</w:t>
      </w:r>
      <w:r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B14980" w:rsidRPr="00A04917">
        <w:rPr>
          <w:rFonts w:ascii="Arial" w:eastAsia="Times New Roman" w:hAnsi="Arial" w:cs="Arial"/>
          <w:sz w:val="24"/>
          <w:szCs w:val="24"/>
          <w:lang w:eastAsia="ar-SA"/>
        </w:rPr>
        <w:t xml:space="preserve"> zgodnie z </w:t>
      </w:r>
      <w:r w:rsidRPr="00561455">
        <w:rPr>
          <w:rFonts w:ascii="Arial" w:eastAsia="Times New Roman" w:hAnsi="Arial" w:cs="Arial"/>
          <w:sz w:val="24"/>
          <w:szCs w:val="24"/>
          <w:lang w:eastAsia="ar-SA"/>
        </w:rPr>
        <w:t xml:space="preserve">art. 10e </w:t>
      </w:r>
      <w:r>
        <w:rPr>
          <w:rFonts w:ascii="Arial" w:eastAsia="Times New Roman" w:hAnsi="Arial" w:cs="Arial"/>
          <w:sz w:val="24"/>
          <w:szCs w:val="24"/>
          <w:lang w:eastAsia="ar-SA"/>
        </w:rPr>
        <w:t>ust. 3 pkt 4</w:t>
      </w:r>
      <w:r w:rsidRPr="005614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ustawy o samorządzie gminnym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  <w:r w:rsidRPr="00F9469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Ponadto, rekomenduje się przedstawienie ustaleń i rekomendacji</w:t>
      </w:r>
      <w:r w:rsidRPr="00B14980">
        <w:rPr>
          <w:rFonts w:ascii="Arial" w:eastAsia="Times New Roman" w:hAnsi="Arial" w:cs="Arial"/>
          <w:sz w:val="24"/>
          <w:szCs w:val="24"/>
          <w:lang w:eastAsia="ar-SA"/>
        </w:rPr>
        <w:t xml:space="preserve"> w zakresie kształtowania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B14980">
        <w:rPr>
          <w:rFonts w:ascii="Arial" w:eastAsia="Times New Roman" w:hAnsi="Arial" w:cs="Arial"/>
          <w:sz w:val="24"/>
          <w:szCs w:val="24"/>
          <w:lang w:eastAsia="ar-SA"/>
        </w:rPr>
        <w:t>i prowadzenia polityki przestrzennej</w:t>
      </w:r>
      <w:r w:rsidRPr="00A0491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14980">
        <w:rPr>
          <w:rFonts w:ascii="Arial" w:eastAsia="Times New Roman" w:hAnsi="Arial" w:cs="Arial"/>
          <w:sz w:val="24"/>
          <w:szCs w:val="24"/>
          <w:lang w:eastAsia="ar-SA"/>
        </w:rPr>
        <w:t>w formie graficznej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zgodnie z </w:t>
      </w:r>
      <w:r w:rsidR="00C562BB" w:rsidRPr="00561455">
        <w:rPr>
          <w:rFonts w:ascii="Arial" w:eastAsia="Times New Roman" w:hAnsi="Arial" w:cs="Arial"/>
          <w:sz w:val="24"/>
          <w:szCs w:val="24"/>
          <w:lang w:eastAsia="ar-SA"/>
        </w:rPr>
        <w:t xml:space="preserve">art. 10e </w:t>
      </w:r>
      <w:r w:rsidR="00C562BB"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ust. 4 </w:t>
      </w:r>
      <w:r w:rsidR="00C562BB" w:rsidRPr="00C562BB">
        <w:rPr>
          <w:rFonts w:ascii="Arial" w:eastAsia="Times New Roman" w:hAnsi="Arial" w:cs="Arial"/>
          <w:i/>
          <w:sz w:val="24"/>
          <w:szCs w:val="24"/>
          <w:lang w:eastAsia="ar-SA"/>
        </w:rPr>
        <w:t>u</w:t>
      </w:r>
      <w:r w:rsidR="00C562BB" w:rsidRPr="00C562B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</w:t>
      </w:r>
      <w:r w:rsidR="00C562BB" w:rsidRPr="0056145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tawy 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C3EEABF" w14:textId="55A7636E" w:rsidR="009A3F8C" w:rsidRDefault="009A3F8C" w:rsidP="00317D6A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412F3">
        <w:rPr>
          <w:rFonts w:ascii="Arial" w:eastAsia="Calibri" w:hAnsi="Arial" w:cs="Arial"/>
          <w:sz w:val="24"/>
          <w:szCs w:val="24"/>
        </w:rPr>
        <w:t xml:space="preserve">Mając na uwadze powyższe, na podstawie art. 41 ust. 1 ustawy z dnia 5 czerwca 1998 r. o samorządzie województwa (t.j. Dz. U. z 2022 r. poz. 2094 ze zm.) w związku z art. 10f ust. 2 i 3 ustawy z dnia 8 marca 1990 r. </w:t>
      </w:r>
      <w:r w:rsidRPr="00561455">
        <w:rPr>
          <w:rFonts w:ascii="Arial" w:eastAsia="Calibri" w:hAnsi="Arial" w:cs="Arial"/>
          <w:i/>
          <w:iCs/>
          <w:sz w:val="24"/>
          <w:szCs w:val="24"/>
        </w:rPr>
        <w:t>o samorządzie gminnym</w:t>
      </w:r>
      <w:r w:rsidRPr="006412F3">
        <w:rPr>
          <w:rFonts w:ascii="Arial" w:eastAsia="Calibri" w:hAnsi="Arial" w:cs="Arial"/>
          <w:sz w:val="24"/>
          <w:szCs w:val="24"/>
        </w:rPr>
        <w:t xml:space="preserve"> </w:t>
      </w:r>
      <w:r w:rsidR="00561455">
        <w:rPr>
          <w:rFonts w:ascii="Arial" w:eastAsia="Calibri" w:hAnsi="Arial" w:cs="Arial"/>
          <w:sz w:val="24"/>
          <w:szCs w:val="24"/>
        </w:rPr>
        <w:br/>
      </w:r>
      <w:r w:rsidRPr="006412F3">
        <w:rPr>
          <w:rFonts w:ascii="Arial" w:eastAsia="Calibri" w:hAnsi="Arial" w:cs="Arial"/>
          <w:sz w:val="24"/>
          <w:szCs w:val="24"/>
        </w:rPr>
        <w:t xml:space="preserve">(t.j. Dz. U. z 2023 r. poz. 40 ze zm.) Zarząd Województwa Podkarpackiego postanawia </w:t>
      </w:r>
      <w:r w:rsidR="00DC2890">
        <w:rPr>
          <w:rFonts w:ascii="Arial" w:eastAsia="Calibri" w:hAnsi="Arial" w:cs="Arial"/>
          <w:sz w:val="24"/>
          <w:szCs w:val="24"/>
        </w:rPr>
        <w:t>pozytywnie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B14980" w:rsidRPr="00B149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Gminy i M</w:t>
      </w:r>
      <w:r w:rsidR="00B149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iasta Rudnik nad Sanem na lata </w:t>
      </w:r>
      <w:r w:rsidR="00B14980" w:rsidRPr="00B1498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2023-2030</w:t>
      </w:r>
      <w:r w:rsidR="00317D6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sectPr w:rsidR="009A3F8C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F8C"/>
    <w:rsid w:val="00002A45"/>
    <w:rsid w:val="00036024"/>
    <w:rsid w:val="000B739D"/>
    <w:rsid w:val="000D58B1"/>
    <w:rsid w:val="00175BD6"/>
    <w:rsid w:val="00183C56"/>
    <w:rsid w:val="001A199E"/>
    <w:rsid w:val="001F04BF"/>
    <w:rsid w:val="002B1C45"/>
    <w:rsid w:val="002D72F8"/>
    <w:rsid w:val="00317D6A"/>
    <w:rsid w:val="0039505A"/>
    <w:rsid w:val="00460261"/>
    <w:rsid w:val="004D3A32"/>
    <w:rsid w:val="00561455"/>
    <w:rsid w:val="005A20C7"/>
    <w:rsid w:val="00965A6C"/>
    <w:rsid w:val="00973C7E"/>
    <w:rsid w:val="009809B3"/>
    <w:rsid w:val="009A3F8C"/>
    <w:rsid w:val="009E4EA4"/>
    <w:rsid w:val="00A04917"/>
    <w:rsid w:val="00A66D3E"/>
    <w:rsid w:val="00A82671"/>
    <w:rsid w:val="00B14980"/>
    <w:rsid w:val="00B70CB1"/>
    <w:rsid w:val="00C562BB"/>
    <w:rsid w:val="00C56315"/>
    <w:rsid w:val="00CE3273"/>
    <w:rsid w:val="00D1077B"/>
    <w:rsid w:val="00D704F9"/>
    <w:rsid w:val="00DB7408"/>
    <w:rsid w:val="00DC2890"/>
    <w:rsid w:val="00DC4BF3"/>
    <w:rsid w:val="00DD7091"/>
    <w:rsid w:val="00EC46BC"/>
    <w:rsid w:val="00F9469C"/>
    <w:rsid w:val="00FB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77CD"/>
  <w15:chartTrackingRefBased/>
  <w15:docId w15:val="{C8BD0951-92DE-411B-86F6-95D62EF7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F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0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1443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553_11732_23</vt:lpstr>
    </vt:vector>
  </TitlesOfParts>
  <Company/>
  <LinksUpToDate>false</LinksUpToDate>
  <CharactersWithSpaces>10082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553_11732_23</dc:title>
  <dc:subject/>
  <dc:creator>Surmacz Paulina</dc:creator>
  <cp:keywords/>
  <dc:description/>
  <cp:lastModifiedBy>.</cp:lastModifiedBy>
  <cp:revision>6</cp:revision>
  <cp:lastPrinted>2023-12-27T10:52:00Z</cp:lastPrinted>
  <dcterms:created xsi:type="dcterms:W3CDTF">2023-12-21T09:32:00Z</dcterms:created>
  <dcterms:modified xsi:type="dcterms:W3CDTF">2024-01-03T10:25:00Z</dcterms:modified>
</cp:coreProperties>
</file>